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center"/>
        <w:textAlignment w:val="auto"/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  <w:t>西门子YSio数字化双平板摄片系统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lang w:eastAsia="zh-CN"/>
        </w:rPr>
        <w:t>维保服务项目需求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center"/>
        <w:textAlignment w:val="auto"/>
        <w:rPr>
          <w:rFonts w:hint="eastAsia" w:ascii="宋体" w:cs="宋体"/>
          <w:b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一、设备名称及型号等：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设备名称：数字化双平板摄片系统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品牌：西门子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型号：Aristos  MX DR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数量：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二、服务期：3年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三、预算上限：49万元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服务需求: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维修保养服务内容：Aristos MX DR数字化双平板摄片系统维修保养服务，包含除附属设备（附属设备包括稳压柜，第三方工作站，打片机）以外的全部配件，包括球管，探测器，零配件、技术服务费和差旅费。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商具备满足本项目需求的服务能力，在广东省内设有长期稳定的服务机构及驻地工程师。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商提供24小时热线服务电话（4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00或800）随时在线响应。不限次数报修；接到采购人报修电话后，维修响应时间≤1小时，到达现场时间≤2小时，现场确认故障原因≤8小时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应具备专业服务团队，为本项目配备的厂家技术培训合格证书的资深工程师不少于2名。每年根据采购人需求对设备使用人员做技术培训。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省内拥有厂家培训资质工程师，且该工程师为供应商的正式员工（须提供证明材料）。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服务商的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备件来源要求：为保障采购人维保设备运行的安全性及可靠性，供应商确保备件必须为与该设备同一备件号的原厂备件，安装完毕后达到原厂设备运行标准。保证备件100%供应保障。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所在单位半径100公里内设有长期稳定的维修服务点。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所在单位半径100公里内设有备件库。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提供设备及附件一年至少4次的全面系统深度预防性保养，响应文件中需提供明确保养的具体内容。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应保证设备开机率≥96%（按全年365天计算，不分节假日,全年停机时间累计不超过15天）。如低于96%开机率，每超过一天扣除2000元/天的维保费。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必须具有设备维修涉及的全套专业维修工具并提供校准证明文件。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设备信息实现远程管理，基础信息实时监控、微信检测、手机报修、效益分析等功能完善。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不能以任何形式转包，不接受联合体响应。不得整体或部份将维修工作转包给其它公司或个人，一经查实，将终止合同，成交供应商要赔偿由此引起的一切经济损失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成立至今维修工作中未发生重大责任事故。存在隐瞒或欺骗行为，一经查实，取消中标资格。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每次修理和保养要做好记录，并双方签字确认；每年要对设备维修及运行状态情况汇总，及编写总结报告。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sectPr>
      <w:pgSz w:w="11906" w:h="16838"/>
      <w:pgMar w:top="60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mE5ZDc0ZDYwZGVmYzkxMWM3MTNiNGI0NjY3ZmIifQ=="/>
  </w:docVars>
  <w:rsids>
    <w:rsidRoot w:val="236B302D"/>
    <w:rsid w:val="236B302D"/>
    <w:rsid w:val="267C565F"/>
    <w:rsid w:val="4FFED302"/>
    <w:rsid w:val="5692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911</Words>
  <Characters>959</Characters>
  <Lines>0</Lines>
  <Paragraphs>0</Paragraphs>
  <TotalTime>23</TotalTime>
  <ScaleCrop>false</ScaleCrop>
  <LinksUpToDate>false</LinksUpToDate>
  <CharactersWithSpaces>965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2023-12-25T15:14:00Z</dcterms:created>
  <dc:creator>八菜  汤</dc:creator>
  <cp:lastModifiedBy>氼迗  </cp:lastModifiedBy>
  <dcterms:modified xsi:type="dcterms:W3CDTF">2024-01-02T08:43:53Z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1E115348ABF1E364495C93654C404390_43</vt:lpwstr>
  </property>
</Properties>
</file>