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i w:val="0"/>
          <w:iCs w:val="0"/>
          <w:sz w:val="32"/>
          <w:szCs w:val="32"/>
          <w:lang w:eastAsia="zh-CN"/>
        </w:rPr>
      </w:pPr>
      <w:bookmarkStart w:id="0" w:name="_GoBack"/>
      <w:bookmarkEnd w:id="0"/>
      <w:r>
        <w:rPr>
          <w:rFonts w:hint="eastAsia" w:ascii="宋体" w:hAnsi="宋体" w:eastAsia="宋体" w:cs="宋体"/>
          <w:b/>
          <w:bCs w:val="0"/>
          <w:i w:val="0"/>
          <w:iCs w:val="0"/>
          <w:sz w:val="32"/>
          <w:szCs w:val="32"/>
          <w:lang w:val="en-US" w:eastAsia="zh-CN"/>
        </w:rPr>
        <w:t>开平市中心医院电子胃肠镜设备</w:t>
      </w:r>
      <w:r>
        <w:rPr>
          <w:rFonts w:hint="eastAsia" w:ascii="宋体" w:hAnsi="宋体" w:eastAsia="宋体" w:cs="宋体"/>
          <w:b/>
          <w:bCs w:val="0"/>
          <w:i w:val="0"/>
          <w:iCs w:val="0"/>
          <w:sz w:val="32"/>
          <w:szCs w:val="32"/>
        </w:rPr>
        <w:t>维保</w:t>
      </w:r>
      <w:r>
        <w:rPr>
          <w:rFonts w:hint="eastAsia" w:ascii="宋体" w:hAnsi="宋体" w:eastAsia="宋体" w:cs="宋体"/>
          <w:b/>
          <w:bCs w:val="0"/>
          <w:i w:val="0"/>
          <w:iCs w:val="0"/>
          <w:sz w:val="32"/>
          <w:szCs w:val="32"/>
          <w:lang w:eastAsia="zh-CN"/>
        </w:rPr>
        <w:t>项目需求</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最高限价为：29万元</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维保设备</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设备名称：电子胃肠镜设备</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品牌：奥林巴斯</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型号/设备名/数量：</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 xml:space="preserve">1、CV-290/图像处理装置/2台。 </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2、CLV-290SL/内窥镜冷光源/2台。</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3、GIF-HQ290/电子胃镜1/支。</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4、CF-HQ290I/电子结肠镜/1支。</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5、GF TYJPE UE260-AL5/超声电子上消化道内窥镜/1支。</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i w:val="0"/>
          <w:iCs w:val="0"/>
          <w:sz w:val="28"/>
          <w:szCs w:val="28"/>
          <w:lang w:val="en-US" w:eastAsia="zh-CN"/>
        </w:rPr>
      </w:pPr>
      <w:r>
        <w:rPr>
          <w:rFonts w:hint="eastAsia" w:ascii="宋体" w:hAnsi="宋体" w:eastAsia="宋体" w:cs="宋体"/>
          <w:b w:val="0"/>
          <w:bCs/>
          <w:i w:val="0"/>
          <w:iCs w:val="0"/>
          <w:sz w:val="28"/>
          <w:szCs w:val="28"/>
          <w:lang w:val="en-US" w:eastAsia="zh-CN"/>
        </w:rPr>
        <w:t>6、EU-ME2/超声内镜图像处理装置/1台。</w:t>
      </w:r>
    </w:p>
    <w:p>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eastAsia="宋体" w:cs="宋体"/>
          <w:b w:val="0"/>
          <w:bCs/>
          <w:i w:val="0"/>
          <w:iCs w:val="0"/>
          <w:sz w:val="28"/>
          <w:szCs w:val="28"/>
          <w:lang w:val="en-US" w:eastAsia="zh-CN"/>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jc w:val="both"/>
        <w:textAlignment w:val="auto"/>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服务期：1年</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eastAsia" w:ascii="宋体" w:hAnsi="宋体" w:eastAsia="宋体" w:cs="宋体"/>
          <w:b w:val="0"/>
          <w:bCs/>
          <w:kern w:val="0"/>
          <w:sz w:val="28"/>
          <w:szCs w:val="28"/>
          <w:lang w:val="en-US" w:eastAsia="zh-CN"/>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ind w:left="0" w:leftChars="0" w:firstLine="0" w:firstLineChars="0"/>
        <w:jc w:val="left"/>
        <w:textAlignment w:val="auto"/>
        <w:rPr>
          <w:rFonts w:hint="eastAsia" w:ascii="宋体" w:hAnsi="宋体" w:eastAsia="宋体" w:cs="宋体"/>
          <w:b w:val="0"/>
          <w:bCs/>
          <w:kern w:val="0"/>
          <w:sz w:val="28"/>
          <w:szCs w:val="28"/>
        </w:rPr>
      </w:pPr>
      <w:r>
        <w:rPr>
          <w:rFonts w:hint="eastAsia" w:ascii="宋体" w:hAnsi="宋体" w:eastAsia="宋体" w:cs="宋体"/>
          <w:b w:val="0"/>
          <w:bCs/>
          <w:kern w:val="0"/>
          <w:sz w:val="28"/>
          <w:szCs w:val="28"/>
        </w:rPr>
        <w:t>服务</w:t>
      </w:r>
      <w:r>
        <w:rPr>
          <w:rFonts w:hint="eastAsia" w:ascii="宋体" w:hAnsi="宋体" w:eastAsia="宋体" w:cs="宋体"/>
          <w:b w:val="0"/>
          <w:bCs/>
          <w:kern w:val="0"/>
          <w:sz w:val="28"/>
          <w:szCs w:val="28"/>
          <w:lang w:eastAsia="zh-CN"/>
        </w:rPr>
        <w:t>内容</w:t>
      </w:r>
      <w:r>
        <w:rPr>
          <w:rFonts w:hint="eastAsia" w:ascii="宋体" w:hAnsi="宋体" w:eastAsia="宋体" w:cs="宋体"/>
          <w:b w:val="0"/>
          <w:bCs/>
          <w:kern w:val="0"/>
          <w:sz w:val="28"/>
          <w:szCs w:val="28"/>
        </w:rPr>
        <w:t>:</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val="en-US" w:eastAsia="zh-CN"/>
        </w:rPr>
        <w:t>对维保清单内的</w:t>
      </w:r>
      <w:r>
        <w:rPr>
          <w:rFonts w:hint="eastAsia" w:ascii="宋体" w:hAnsi="宋体" w:eastAsia="宋体" w:cs="宋体"/>
          <w:b w:val="0"/>
          <w:bCs/>
          <w:kern w:val="0"/>
          <w:sz w:val="28"/>
          <w:szCs w:val="28"/>
        </w:rPr>
        <w:t>电子胃肠镜设备</w:t>
      </w:r>
      <w:r>
        <w:rPr>
          <w:rFonts w:hint="eastAsia" w:ascii="宋体" w:hAnsi="宋体" w:eastAsia="宋体" w:cs="宋体"/>
          <w:b w:val="0"/>
          <w:bCs/>
          <w:kern w:val="0"/>
          <w:sz w:val="28"/>
          <w:szCs w:val="28"/>
          <w:lang w:eastAsia="zh-CN"/>
        </w:rPr>
        <w:t>进行维保服务，包括维修零配件、技术服务费和差旅费等含维保费用内。</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服务商具备满足本项目需求的服务能力，在广东省内设有长期稳定的服务机构及驻地工程师。</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成交服务商应按方案按规定</w:t>
      </w:r>
      <w:r>
        <w:rPr>
          <w:rFonts w:hint="eastAsia" w:ascii="宋体" w:hAnsi="宋体" w:eastAsia="宋体" w:cs="宋体"/>
          <w:b w:val="0"/>
          <w:bCs/>
          <w:kern w:val="0"/>
          <w:sz w:val="28"/>
          <w:szCs w:val="28"/>
          <w:lang w:val="en-US" w:eastAsia="zh-CN"/>
        </w:rPr>
        <w:t>时</w:t>
      </w:r>
      <w:r>
        <w:rPr>
          <w:rFonts w:hint="eastAsia" w:ascii="宋体" w:hAnsi="宋体" w:eastAsia="宋体" w:cs="宋体"/>
          <w:b w:val="0"/>
          <w:bCs/>
          <w:kern w:val="0"/>
          <w:sz w:val="28"/>
          <w:szCs w:val="28"/>
          <w:lang w:eastAsia="zh-CN"/>
        </w:rPr>
        <w:t>间完成维保项目，如果成交服务商遇到不能按时完成维保项目时，应及时通知采购人将不能完成理由及可能延误的时间，同时服务商还要为采购人提供备用方案。</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服务商应具备专业服务团队，为本项目的资深工程师不少于2名。每年根据采购人需求对设备使用人员做技术培训。</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为保障采购人维保设备运行的安全性及可靠性，供应商确保备件必须为新合格产品及有质</w:t>
      </w:r>
      <w:r>
        <w:rPr>
          <w:rFonts w:hint="eastAsia" w:ascii="宋体" w:hAnsi="宋体" w:eastAsia="宋体" w:cs="宋体"/>
          <w:b w:val="0"/>
          <w:bCs/>
          <w:kern w:val="0"/>
          <w:sz w:val="28"/>
          <w:szCs w:val="28"/>
          <w:lang w:val="en-US" w:eastAsia="zh-CN"/>
        </w:rPr>
        <w:t>量</w:t>
      </w:r>
      <w:r>
        <w:rPr>
          <w:rFonts w:hint="eastAsia" w:ascii="宋体" w:hAnsi="宋体" w:eastAsia="宋体" w:cs="宋体"/>
          <w:b w:val="0"/>
          <w:bCs/>
          <w:kern w:val="0"/>
          <w:sz w:val="28"/>
          <w:szCs w:val="28"/>
          <w:lang w:eastAsia="zh-CN"/>
        </w:rPr>
        <w:t>证明，安装完毕后达到原厂设备运行标准；维保服务过程中需更换配件需经采购人确定同意，严禁使用假冒伪劣配件。</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服务商不能以任何形式转包，不接受联合体响应。不得整体或部份将维修工作转包给其它公司或个人，一经查实，将终止合同，成交供应商要赔偿由此引起的一切经济损失；</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服务商成立至今维修工作中未发生重大责任事故。存在隐瞒或欺骗行为，一经查实，取消资格。</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服务商应保证设备开机率≥96%（按全年365天计算，不分节假日,全年停机时间累计不超过15天）。如低于96%开机率，每超过一天扣除2000元/天的维保费。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ind w:leftChars="0"/>
        <w:jc w:val="left"/>
        <w:textAlignment w:val="auto"/>
        <w:rPr>
          <w:rFonts w:hint="eastAsia" w:ascii="宋体" w:hAnsi="宋体" w:eastAsia="宋体" w:cs="宋体"/>
          <w:b w:val="0"/>
          <w:bCs/>
          <w:kern w:val="0"/>
          <w:sz w:val="28"/>
          <w:szCs w:val="28"/>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jc w:val="both"/>
        <w:textAlignment w:val="auto"/>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服务</w:t>
      </w:r>
      <w:r>
        <w:rPr>
          <w:rFonts w:hint="eastAsia" w:ascii="宋体" w:hAnsi="宋体" w:eastAsia="宋体" w:cs="宋体"/>
          <w:b w:val="0"/>
          <w:bCs/>
          <w:kern w:val="0"/>
          <w:sz w:val="28"/>
          <w:szCs w:val="28"/>
          <w:lang w:eastAsia="zh-CN"/>
        </w:rPr>
        <w:t>要求：</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服务商提供每月≧</w:t>
      </w:r>
      <w:r>
        <w:rPr>
          <w:rFonts w:hint="eastAsia" w:ascii="宋体" w:hAnsi="宋体" w:eastAsia="宋体" w:cs="宋体"/>
          <w:b w:val="0"/>
          <w:bCs/>
          <w:kern w:val="0"/>
          <w:sz w:val="28"/>
          <w:szCs w:val="28"/>
          <w:lang w:val="en-US" w:eastAsia="zh-CN"/>
        </w:rPr>
        <w:t>1次保养，1年至少4次全</w:t>
      </w:r>
      <w:r>
        <w:rPr>
          <w:rFonts w:hint="eastAsia" w:ascii="宋体" w:hAnsi="宋体" w:eastAsia="宋体" w:cs="宋体"/>
          <w:b w:val="0"/>
          <w:bCs/>
          <w:kern w:val="0"/>
          <w:sz w:val="28"/>
          <w:szCs w:val="28"/>
          <w:lang w:eastAsia="zh-CN"/>
        </w:rPr>
        <w:t>全面系统深度预防性保养；每次维修保养要做好记录，双</w:t>
      </w:r>
      <w:r>
        <w:rPr>
          <w:rFonts w:hint="eastAsia" w:ascii="宋体" w:hAnsi="宋体" w:eastAsia="宋体" w:cs="宋体"/>
          <w:b w:val="0"/>
          <w:bCs/>
          <w:kern w:val="0"/>
          <w:sz w:val="28"/>
          <w:szCs w:val="28"/>
          <w:lang w:val="en-US" w:eastAsia="zh-CN"/>
        </w:rPr>
        <w:t>方</w:t>
      </w:r>
      <w:r>
        <w:rPr>
          <w:rFonts w:hint="eastAsia" w:ascii="宋体" w:hAnsi="宋体" w:eastAsia="宋体" w:cs="宋体"/>
          <w:b w:val="0"/>
          <w:bCs/>
          <w:kern w:val="0"/>
          <w:sz w:val="28"/>
          <w:szCs w:val="28"/>
          <w:lang w:eastAsia="zh-CN"/>
        </w:rPr>
        <w:t>确认签名。</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每次修理和保养要做好记录，并双</w:t>
      </w:r>
      <w:r>
        <w:rPr>
          <w:rFonts w:hint="eastAsia" w:ascii="宋体" w:hAnsi="宋体" w:eastAsia="宋体" w:cs="宋体"/>
          <w:b w:val="0"/>
          <w:bCs/>
          <w:color w:val="FF0000"/>
          <w:kern w:val="0"/>
          <w:sz w:val="28"/>
          <w:szCs w:val="28"/>
          <w:lang w:eastAsia="zh-CN"/>
        </w:rPr>
        <w:t>方</w:t>
      </w:r>
      <w:r>
        <w:rPr>
          <w:rFonts w:hint="eastAsia" w:ascii="宋体" w:hAnsi="宋体" w:eastAsia="宋体" w:cs="宋体"/>
          <w:b w:val="0"/>
          <w:bCs/>
          <w:kern w:val="0"/>
          <w:sz w:val="28"/>
          <w:szCs w:val="28"/>
          <w:lang w:eastAsia="zh-CN"/>
        </w:rPr>
        <w:t>签字确认。</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eastAsia="zh-CN"/>
        </w:rPr>
      </w:pPr>
      <w:r>
        <w:rPr>
          <w:rFonts w:hint="eastAsia" w:ascii="宋体" w:hAnsi="宋体" w:eastAsia="宋体" w:cs="宋体"/>
          <w:b w:val="0"/>
          <w:bCs/>
          <w:kern w:val="0"/>
          <w:sz w:val="28"/>
          <w:szCs w:val="28"/>
          <w:lang w:eastAsia="zh-CN"/>
        </w:rPr>
        <w:t>服务商提供24小时热线服务电话随时在线响应。不限次数报修；接到采购人报修电话后，维修响应时间≤1小时，到达现场时间≤24小时，48小时内解决故障；</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0" w:lineRule="atLeast"/>
        <w:ind w:left="0" w:leftChars="0" w:firstLine="642" w:firstLineChars="200"/>
        <w:jc w:val="left"/>
        <w:textAlignment w:val="auto"/>
        <w:rPr>
          <w:rFonts w:hint="eastAsia" w:ascii="宋体" w:hAnsi="宋体" w:eastAsia="宋体" w:cs="宋体"/>
          <w:b/>
          <w:bCs w:val="0"/>
          <w:color w:val="auto"/>
          <w:kern w:val="0"/>
          <w:sz w:val="28"/>
          <w:szCs w:val="28"/>
          <w:highlight w:val="none"/>
          <w:lang w:eastAsia="zh-CN"/>
        </w:rPr>
      </w:pPr>
      <w:r>
        <w:rPr>
          <w:rFonts w:hint="eastAsia" w:ascii="宋体" w:hAnsi="宋体" w:eastAsia="宋体" w:cs="宋体"/>
          <w:b/>
          <w:bCs w:val="0"/>
          <w:i w:val="0"/>
          <w:iCs w:val="0"/>
          <w:color w:val="auto"/>
          <w:sz w:val="28"/>
          <w:szCs w:val="28"/>
          <w:highlight w:val="none"/>
          <w:lang w:val="en-US" w:eastAsia="zh-CN"/>
        </w:rPr>
        <w:t>维保清单内设备</w:t>
      </w:r>
      <w:r>
        <w:rPr>
          <w:rFonts w:hint="eastAsia" w:ascii="宋体" w:hAnsi="宋体" w:eastAsia="宋体" w:cs="宋体"/>
          <w:b/>
          <w:bCs w:val="0"/>
          <w:color w:val="auto"/>
          <w:kern w:val="0"/>
          <w:sz w:val="28"/>
          <w:szCs w:val="28"/>
          <w:highlight w:val="none"/>
          <w:lang w:eastAsia="zh-CN"/>
        </w:rPr>
        <w:t>如服务商不能在48小时内解决故障，</w:t>
      </w:r>
      <w:r>
        <w:rPr>
          <w:rFonts w:hint="eastAsia" w:ascii="宋体" w:hAnsi="宋体" w:eastAsia="宋体" w:cs="宋体"/>
          <w:b/>
          <w:bCs w:val="0"/>
          <w:color w:val="auto"/>
          <w:kern w:val="0"/>
          <w:sz w:val="28"/>
          <w:szCs w:val="28"/>
          <w:highlight w:val="none"/>
          <w:lang w:val="en-US" w:eastAsia="zh-CN"/>
        </w:rPr>
        <w:t>需在24小时内寄出备用电子内窥镜和</w:t>
      </w:r>
      <w:r>
        <w:rPr>
          <w:rFonts w:hint="eastAsia" w:ascii="宋体" w:hAnsi="宋体" w:eastAsia="宋体" w:cs="宋体"/>
          <w:b/>
          <w:bCs w:val="0"/>
          <w:i w:val="0"/>
          <w:iCs w:val="0"/>
          <w:color w:val="auto"/>
          <w:sz w:val="28"/>
          <w:szCs w:val="28"/>
          <w:highlight w:val="none"/>
          <w:lang w:val="en-US" w:eastAsia="zh-CN"/>
        </w:rPr>
        <w:t>冷光源、图像处理装置等。</w:t>
      </w:r>
    </w:p>
    <w:p>
      <w:pPr>
        <w:keepNext w:val="0"/>
        <w:keepLines w:val="0"/>
        <w:pageBreakBefore w:val="0"/>
        <w:widowControl w:val="0"/>
        <w:numPr>
          <w:ilvl w:val="0"/>
          <w:numId w:val="4"/>
        </w:numPr>
        <w:kinsoku/>
        <w:wordWrap/>
        <w:overflowPunct/>
        <w:topLinePunct w:val="0"/>
        <w:bidi w:val="0"/>
        <w:snapToGrid/>
        <w:spacing w:line="0" w:lineRule="atLeast"/>
        <w:ind w:left="0" w:leftChars="0" w:firstLine="640" w:firstLineChars="200"/>
        <w:jc w:val="left"/>
        <w:textAlignment w:val="auto"/>
        <w:rPr>
          <w:rFonts w:hint="eastAsia" w:ascii="宋体" w:hAnsi="宋体" w:eastAsia="宋体" w:cs="宋体"/>
          <w:b w:val="0"/>
          <w:bCs/>
          <w:i w:val="0"/>
          <w:iCs w:val="0"/>
          <w:color w:val="auto"/>
          <w:sz w:val="28"/>
          <w:szCs w:val="28"/>
          <w:highlight w:val="none"/>
          <w:lang w:val="en-US" w:eastAsia="zh-CN"/>
        </w:rPr>
      </w:pPr>
      <w:r>
        <w:rPr>
          <w:rFonts w:hint="eastAsia" w:ascii="宋体" w:hAnsi="宋体" w:eastAsia="宋体" w:cs="宋体"/>
          <w:b w:val="0"/>
          <w:bCs/>
          <w:i w:val="0"/>
          <w:iCs w:val="0"/>
          <w:color w:val="auto"/>
          <w:sz w:val="28"/>
          <w:szCs w:val="28"/>
          <w:highlight w:val="none"/>
          <w:lang w:val="en-US" w:eastAsia="zh-CN"/>
        </w:rPr>
        <w:t>服务商提供24小时热线服务电话随时在线响应，不限次数报修。</w:t>
      </w:r>
    </w:p>
    <w:p>
      <w:pPr>
        <w:keepNext w:val="0"/>
        <w:keepLines w:val="0"/>
        <w:pageBreakBefore w:val="0"/>
        <w:widowControl w:val="0"/>
        <w:numPr>
          <w:ilvl w:val="0"/>
          <w:numId w:val="4"/>
        </w:numPr>
        <w:kinsoku/>
        <w:wordWrap/>
        <w:overflowPunct/>
        <w:topLinePunct w:val="0"/>
        <w:bidi w:val="0"/>
        <w:snapToGrid/>
        <w:spacing w:line="0" w:lineRule="atLeast"/>
        <w:ind w:left="0" w:leftChars="0" w:firstLine="640" w:firstLineChars="200"/>
        <w:jc w:val="left"/>
        <w:textAlignment w:val="auto"/>
        <w:rPr>
          <w:rFonts w:hint="eastAsia" w:ascii="宋体" w:hAnsi="宋体" w:eastAsia="宋体" w:cs="宋体"/>
          <w:b w:val="0"/>
          <w:bCs/>
          <w:i w:val="0"/>
          <w:iCs w:val="0"/>
          <w:color w:val="auto"/>
          <w:sz w:val="28"/>
          <w:szCs w:val="28"/>
          <w:highlight w:val="none"/>
          <w:lang w:val="en-US" w:eastAsia="zh-CN"/>
        </w:rPr>
      </w:pPr>
      <w:r>
        <w:rPr>
          <w:rFonts w:hint="eastAsia" w:ascii="宋体" w:hAnsi="宋体" w:eastAsia="宋体" w:cs="宋体"/>
          <w:b w:val="0"/>
          <w:bCs/>
          <w:i w:val="0"/>
          <w:iCs w:val="0"/>
          <w:color w:val="auto"/>
          <w:sz w:val="28"/>
          <w:szCs w:val="28"/>
          <w:highlight w:val="none"/>
          <w:lang w:val="en-US" w:eastAsia="zh-CN"/>
        </w:rPr>
        <w:t>应建立和健全设备的维保档案，每年提交一份工作总结报告。</w:t>
      </w:r>
    </w:p>
    <w:p>
      <w:pPr>
        <w:keepNext w:val="0"/>
        <w:keepLines w:val="0"/>
        <w:pageBreakBefore w:val="0"/>
        <w:widowControl w:val="0"/>
        <w:numPr>
          <w:ilvl w:val="0"/>
          <w:numId w:val="4"/>
        </w:numPr>
        <w:kinsoku/>
        <w:wordWrap/>
        <w:overflowPunct/>
        <w:topLinePunct w:val="0"/>
        <w:bidi w:val="0"/>
        <w:snapToGrid/>
        <w:spacing w:line="0" w:lineRule="atLeast"/>
        <w:ind w:left="0" w:leftChars="0" w:firstLine="640" w:firstLineChars="200"/>
        <w:jc w:val="left"/>
        <w:textAlignment w:val="auto"/>
        <w:rPr>
          <w:rFonts w:hint="eastAsia" w:ascii="宋体" w:hAnsi="宋体" w:eastAsia="宋体" w:cs="宋体"/>
          <w:b w:val="0"/>
          <w:bCs/>
          <w:i w:val="0"/>
          <w:iCs w:val="0"/>
          <w:color w:val="auto"/>
          <w:sz w:val="28"/>
          <w:szCs w:val="28"/>
          <w:highlight w:val="none"/>
          <w:lang w:val="en-US" w:eastAsia="zh-CN"/>
        </w:rPr>
      </w:pPr>
      <w:r>
        <w:rPr>
          <w:rFonts w:hint="eastAsia" w:ascii="宋体" w:hAnsi="宋体" w:eastAsia="宋体" w:cs="宋体"/>
          <w:b w:val="0"/>
          <w:bCs/>
          <w:i w:val="0"/>
          <w:iCs w:val="0"/>
          <w:color w:val="auto"/>
          <w:sz w:val="28"/>
          <w:szCs w:val="28"/>
          <w:highlight w:val="none"/>
          <w:lang w:val="en-US" w:eastAsia="zh-CN"/>
        </w:rPr>
        <w:t>乙方应为甲方设备操作人员或工程师提供至少一年一次的远程或现场指导培训，每年初提交计划，年终提交培训记录（含签名表，培训相片）。</w:t>
      </w:r>
    </w:p>
    <w:p>
      <w:pPr>
        <w:keepNext w:val="0"/>
        <w:keepLines w:val="0"/>
        <w:pageBreakBefore w:val="0"/>
        <w:widowControl w:val="0"/>
        <w:numPr>
          <w:ilvl w:val="0"/>
          <w:numId w:val="4"/>
        </w:numPr>
        <w:kinsoku/>
        <w:wordWrap/>
        <w:overflowPunct/>
        <w:topLinePunct w:val="0"/>
        <w:bidi w:val="0"/>
        <w:snapToGrid/>
        <w:spacing w:line="0" w:lineRule="atLeast"/>
        <w:ind w:left="0" w:leftChars="0" w:firstLine="640" w:firstLineChars="200"/>
        <w:jc w:val="left"/>
        <w:textAlignment w:val="auto"/>
        <w:rPr>
          <w:rFonts w:hint="eastAsia" w:ascii="宋体" w:hAnsi="宋体" w:eastAsia="宋体" w:cs="宋体"/>
          <w:b w:val="0"/>
          <w:bCs/>
          <w:kern w:val="0"/>
          <w:sz w:val="28"/>
          <w:szCs w:val="28"/>
          <w:lang w:val="en-US" w:eastAsia="zh-CN"/>
        </w:rPr>
      </w:pPr>
      <w:r>
        <w:rPr>
          <w:rFonts w:hint="eastAsia" w:ascii="宋体" w:hAnsi="宋体" w:eastAsia="宋体" w:cs="宋体"/>
          <w:b w:val="0"/>
          <w:bCs/>
          <w:i w:val="0"/>
          <w:iCs w:val="0"/>
          <w:color w:val="auto"/>
          <w:sz w:val="28"/>
          <w:szCs w:val="28"/>
          <w:highlight w:val="none"/>
          <w:lang w:val="en-US" w:eastAsia="zh-CN"/>
        </w:rPr>
        <w:t>每年年终提交质量安全评估报告</w:t>
      </w:r>
      <w:r>
        <w:rPr>
          <w:rFonts w:hint="eastAsia" w:ascii="宋体" w:hAnsi="宋体" w:eastAsia="宋体" w:cs="宋体"/>
          <w:b w:val="0"/>
          <w:bCs/>
          <w:i w:val="0"/>
          <w:iCs w:val="0"/>
          <w:color w:val="FF0000"/>
          <w:sz w:val="28"/>
          <w:szCs w:val="28"/>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0" w:lineRule="atLeast"/>
        <w:jc w:val="both"/>
        <w:textAlignment w:val="auto"/>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考核要求：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0" w:lineRule="atLeast"/>
        <w:jc w:val="both"/>
        <w:textAlignment w:val="auto"/>
        <w:rPr>
          <w:rFonts w:hint="default"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 xml:space="preserve">   在服务期间，采购人在支付每期服务费前将对服务人进行服务评价，若评分过低则扣除服务人相应的服务费，单期维保服务得分不足90分的，按比例扣除当期维保款项的5%，连续两期维保服务得分不足90的，按比例扣除第二期维保款项的10%，连续三期得分不足 90 的或因设备原因引起重大安全生产事故的，采购人有权终止维保服务合同。</w:t>
      </w:r>
    </w:p>
    <w:p>
      <w:pPr>
        <w:keepNext w:val="0"/>
        <w:keepLines w:val="0"/>
        <w:pageBreakBefore w:val="0"/>
        <w:widowControl w:val="0"/>
        <w:numPr>
          <w:ilvl w:val="0"/>
          <w:numId w:val="0"/>
        </w:numPr>
        <w:kinsoku/>
        <w:wordWrap/>
        <w:overflowPunct/>
        <w:topLinePunct w:val="0"/>
        <w:bidi w:val="0"/>
        <w:snapToGrid/>
        <w:spacing w:line="0" w:lineRule="atLeast"/>
        <w:ind w:leftChars="200"/>
        <w:jc w:val="left"/>
        <w:textAlignment w:val="auto"/>
        <w:rPr>
          <w:rFonts w:hint="eastAsia" w:ascii="宋体" w:hAnsi="宋体" w:eastAsia="宋体" w:cs="宋体"/>
          <w:b w:val="0"/>
          <w:bCs/>
          <w:i w:val="0"/>
          <w:iCs w:val="0"/>
          <w:color w:val="FF0000"/>
          <w:sz w:val="28"/>
          <w:szCs w:val="28"/>
          <w:lang w:val="en-US" w:eastAsia="zh-CN"/>
        </w:rPr>
      </w:pPr>
      <w:r>
        <w:rPr>
          <w:rFonts w:hint="eastAsia" w:ascii="宋体" w:hAnsi="宋体" w:eastAsia="宋体" w:cs="宋体"/>
          <w:b w:val="0"/>
          <w:bCs/>
          <w:i w:val="0"/>
          <w:iCs w:val="0"/>
          <w:color w:val="FF0000"/>
          <w:sz w:val="28"/>
          <w:szCs w:val="28"/>
          <w:lang w:val="en-US" w:eastAsia="zh-CN"/>
        </w:rPr>
        <w:t xml:space="preserve"> </w:t>
      </w:r>
    </w:p>
    <w:p>
      <w:pPr>
        <w:keepNext w:val="0"/>
        <w:keepLines w:val="0"/>
        <w:pageBreakBefore w:val="0"/>
        <w:widowControl w:val="0"/>
        <w:numPr>
          <w:ilvl w:val="0"/>
          <w:numId w:val="0"/>
        </w:numPr>
        <w:kinsoku/>
        <w:wordWrap/>
        <w:overflowPunct/>
        <w:topLinePunct w:val="0"/>
        <w:bidi w:val="0"/>
        <w:snapToGrid/>
        <w:spacing w:line="0" w:lineRule="atLeast"/>
        <w:ind w:leftChars="200"/>
        <w:jc w:val="left"/>
        <w:textAlignment w:val="auto"/>
        <w:rPr>
          <w:rFonts w:hint="eastAsia" w:ascii="宋体" w:hAnsi="宋体" w:eastAsia="宋体" w:cs="宋体"/>
          <w:b w:val="0"/>
          <w:bCs/>
          <w:i w:val="0"/>
          <w:iCs w:val="0"/>
          <w:color w:val="FF0000"/>
          <w:sz w:val="28"/>
          <w:szCs w:val="28"/>
          <w:lang w:val="en-US" w:eastAsia="zh-CN"/>
        </w:rPr>
      </w:pPr>
    </w:p>
    <w:p>
      <w:pPr>
        <w:keepNext w:val="0"/>
        <w:keepLines w:val="0"/>
        <w:pageBreakBefore w:val="0"/>
        <w:widowControl w:val="0"/>
        <w:numPr>
          <w:ilvl w:val="0"/>
          <w:numId w:val="0"/>
        </w:numPr>
        <w:kinsoku/>
        <w:wordWrap/>
        <w:overflowPunct/>
        <w:topLinePunct w:val="0"/>
        <w:bidi w:val="0"/>
        <w:snapToGrid/>
        <w:spacing w:line="0" w:lineRule="atLeast"/>
        <w:ind w:leftChars="200"/>
        <w:jc w:val="left"/>
        <w:textAlignment w:val="auto"/>
        <w:rPr>
          <w:rFonts w:hint="eastAsia" w:ascii="宋体" w:hAnsi="宋体" w:eastAsia="宋体" w:cs="宋体"/>
          <w:b w:val="0"/>
          <w:bCs/>
          <w:i w:val="0"/>
          <w:iCs w:val="0"/>
          <w:color w:val="FF0000"/>
          <w:sz w:val="28"/>
          <w:szCs w:val="28"/>
          <w:lang w:val="en-US" w:eastAsia="zh-CN"/>
        </w:rPr>
      </w:pPr>
    </w:p>
    <w:p>
      <w:pPr>
        <w:spacing w:line="240" w:lineRule="auto"/>
        <w:jc w:val="left"/>
        <w:rPr>
          <w:rFonts w:hint="eastAsia" w:ascii="宋体" w:hAnsi="宋体" w:eastAsia="宋体" w:cs="宋体"/>
          <w:b w:val="0"/>
          <w:bCs/>
          <w:i w:val="0"/>
          <w:iCs w:val="0"/>
          <w:sz w:val="28"/>
          <w:szCs w:val="28"/>
          <w:lang w:val="en-US" w:eastAsia="zh-CN"/>
        </w:rPr>
      </w:pPr>
    </w:p>
    <w:sectPr>
      <w:pgSz w:w="11906" w:h="16838"/>
      <w:pgMar w:top="88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1B5A0"/>
    <w:multiLevelType w:val="singleLevel"/>
    <w:tmpl w:val="EC01B5A0"/>
    <w:lvl w:ilvl="0" w:tentative="0">
      <w:start w:val="1"/>
      <w:numFmt w:val="chineseCounting"/>
      <w:suff w:val="nothing"/>
      <w:lvlText w:val="%1、"/>
      <w:lvlJc w:val="left"/>
      <w:rPr>
        <w:rFonts w:hint="eastAsia"/>
      </w:rPr>
    </w:lvl>
  </w:abstractNum>
  <w:abstractNum w:abstractNumId="1">
    <w:nsid w:val="F200A6DA"/>
    <w:multiLevelType w:val="singleLevel"/>
    <w:tmpl w:val="F200A6DA"/>
    <w:lvl w:ilvl="0" w:tentative="0">
      <w:start w:val="2"/>
      <w:numFmt w:val="chineseCounting"/>
      <w:suff w:val="nothing"/>
      <w:lvlText w:val="%1、"/>
      <w:lvlJc w:val="left"/>
      <w:rPr>
        <w:rFonts w:hint="eastAsia"/>
      </w:rPr>
    </w:lvl>
  </w:abstractNum>
  <w:abstractNum w:abstractNumId="2">
    <w:nsid w:val="3E966084"/>
    <w:multiLevelType w:val="singleLevel"/>
    <w:tmpl w:val="3E966084"/>
    <w:lvl w:ilvl="0" w:tentative="0">
      <w:start w:val="1"/>
      <w:numFmt w:val="decimal"/>
      <w:suff w:val="nothing"/>
      <w:lvlText w:val="%1、"/>
      <w:lvlJc w:val="left"/>
      <w:rPr>
        <w:rFonts w:hint="default"/>
        <w:color w:val="auto"/>
      </w:rPr>
    </w:lvl>
  </w:abstractNum>
  <w:abstractNum w:abstractNumId="3">
    <w:nsid w:val="69C55AFD"/>
    <w:multiLevelType w:val="singleLevel"/>
    <w:tmpl w:val="69C55AFD"/>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MmE5ZDc0ZDYwZGVmYzkxMWM3MTNiNGI0NjY3ZmIifQ=="/>
    <w:docVar w:name="KSO_WPS_MARK_KEY" w:val="0acb5545-8690-49c4-8247-a09c1cfca0ec"/>
  </w:docVars>
  <w:rsids>
    <w:rsidRoot w:val="04841A27"/>
    <w:rsid w:val="04841A27"/>
    <w:rsid w:val="0854255A"/>
    <w:rsid w:val="145204CA"/>
    <w:rsid w:val="14843F9B"/>
    <w:rsid w:val="1ACD5720"/>
    <w:rsid w:val="1CC01D49"/>
    <w:rsid w:val="1FC3219D"/>
    <w:rsid w:val="210466A8"/>
    <w:rsid w:val="21CF315A"/>
    <w:rsid w:val="267C565F"/>
    <w:rsid w:val="285F2D5E"/>
    <w:rsid w:val="287D64EF"/>
    <w:rsid w:val="28DE4B6F"/>
    <w:rsid w:val="3B25706A"/>
    <w:rsid w:val="3C7C3A87"/>
    <w:rsid w:val="45B119E6"/>
    <w:rsid w:val="5903310E"/>
    <w:rsid w:val="5ED115B9"/>
    <w:rsid w:val="72EC6B7F"/>
    <w:rsid w:val="72F322A9"/>
    <w:rsid w:val="FF1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黑体" w:cs="黑体" w:asciiTheme="minorHAnsi" w:hAnsiTheme="minorHAnsi"/>
      <w:b/>
      <w:spacing w:val="20"/>
      <w:kern w:val="24"/>
      <w:sz w:val="52"/>
      <w:szCs w:val="5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1137</Words>
  <Characters>1219</Characters>
  <Lines>0</Lines>
  <Paragraphs>0</Paragraphs>
  <TotalTime>1</TotalTime>
  <ScaleCrop>false</ScaleCrop>
  <LinksUpToDate>false</LinksUpToDate>
  <CharactersWithSpaces>1228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2024-02-02T17:32:00Z</dcterms:created>
  <dc:creator>八菜  汤</dc:creator>
  <cp:lastModifiedBy>WPS_1683684219</cp:lastModifiedBy>
  <cp:lastPrinted>2024-02-07T14:53:00Z</cp:lastPrinted>
  <dcterms:modified xsi:type="dcterms:W3CDTF">2024-02-21T08:57:36Z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E79C388E895CC00D804AD565E32690F2_43</vt:lpwstr>
  </property>
</Properties>
</file>