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Style w:val="7"/>
          <w:rFonts w:hint="eastAsia"/>
          <w:lang w:val="en-US" w:eastAsia="zh-CN"/>
        </w:rPr>
        <w:t>空气消毒机技术参数</w:t>
      </w:r>
    </w:p>
    <w:tbl>
      <w:tblPr>
        <w:tblStyle w:val="4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899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  <w:t>一、产品名称：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医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用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空气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消毒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98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  <w:t>二、产品用途：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适用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于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普通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手术室、产房、血液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病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区、烧伤病区、保护性隔离病区、重症监护病区的空气消毒；消毒供应中心检查包装灭菌区和无菌物品存放区、重症透析中心的空气消毒；检查室、治疗室、感染性疾病诊室等场所的空气消毒。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  <w:t>三、技术参数要求：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1、采用等离子体＋静电吸附消毒灭菌，杀菌广谱、彻底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；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内含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复合式过滤器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，可有效除去空气中的挥发性气体、各种异味以及过滤毛发、粉尘等大尘埃颗粒；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医用等离子体空气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消毒器壳体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采用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优质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冷轧钢板，结构强度高，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完全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阻燃；表面静电喷涂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，防尘效果好、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使用寿命长、安全系数高；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、人机共存，可在有人状态下进行连续动态消毒，对人及物品没有任何伤害；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、整机重量≤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kg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额定循环风量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≥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600m³/h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可适用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0m³体积及以下的场所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；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额定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功率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0W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±11W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；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电源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C220V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50Hz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；</w:t>
            </w:r>
          </w:p>
          <w:p>
            <w:pPr>
              <w:ind w:firstLine="440" w:firstLineChars="200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等离子体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电场强度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8500</w:t>
            </w:r>
            <w:r>
              <w:rPr>
                <w:rFonts w:ascii="Times New Roman" w:hAnsi="Times New Roman" w:eastAsia="仿宋_GB2312" w:cs="Times New Roman"/>
                <w:color w:val="FF0000"/>
                <w:sz w:val="22"/>
                <w:szCs w:val="22"/>
              </w:rPr>
              <w:t>V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可提供省级疾控中心或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第三方检测机构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检测报告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）</w:t>
            </w:r>
          </w:p>
          <w:p>
            <w:pPr>
              <w:ind w:firstLine="440" w:firstLineChars="200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集尘区电场强度达到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000V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；</w:t>
            </w:r>
          </w:p>
          <w:p>
            <w:pPr>
              <w:ind w:firstLine="440" w:firstLineChars="200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、电场产生的等离子体密度可达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</w:rPr>
              <w:t>5.6×10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vertAlign w:val="superscript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</w:rPr>
              <w:t>1.25×10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vertAlign w:val="superscript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vertAlign w:val="superscript"/>
              </w:rPr>
              <w:t>-3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，等离子体发生器寿命≥30000h；（可提供省级疾控中心或第三方检测机构检测报告）</w:t>
            </w:r>
          </w:p>
          <w:p>
            <w:pPr>
              <w:ind w:firstLine="440" w:firstLineChars="200"/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配备负离子发生器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所产生负离子密度≥4.82×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vertAlign w:val="superscript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个/cm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superscript"/>
                <w:lang w:eastAsia="zh-CN"/>
              </w:rPr>
              <w:t>；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、设备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持续工作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1h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臭氧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残留量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＜0.015</w:t>
            </w:r>
            <w:r>
              <w:rPr>
                <w:rFonts w:ascii="Times New Roman" w:hAnsi="Times New Roman" w:eastAsia="仿宋_GB2312" w:cs="Times New Roman"/>
                <w:color w:val="FF0000"/>
                <w:sz w:val="22"/>
                <w:szCs w:val="22"/>
              </w:rPr>
              <w:t>mg/m³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  <w:t>四、净化消毒效果要求：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★1、净化消毒效果要求：（提供省级疾控中心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或第三方检测机构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检测报告）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）对白色葡萄球菌的杀灭率＞99.90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%； 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）设备持续工作30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min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，PM2.5去除率≥99.92%；设备持续工作1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h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，PM2.5去除率&gt;99.99%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； 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）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设备持续工作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2"/>
                <w:szCs w:val="22"/>
                <w:lang w:val="en-US" w:eastAsia="zh-CN"/>
              </w:rPr>
              <w:t>90min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对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体积为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60 m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室内空气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中的自然菌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消亡率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均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90%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;</w:t>
            </w:r>
          </w:p>
          <w:p>
            <w:pPr>
              <w:numPr>
                <w:ilvl w:val="0"/>
                <w:numId w:val="0"/>
              </w:numPr>
              <w:ind w:left="630" w:leftChars="0"/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4）持续工作2h，甲醛的净化效率≥96.1%、氨的净化效率≥95.2%、苯的净化效率≥96.1%、TVOC净化效率≥98.0%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；</w:t>
            </w:r>
          </w:p>
          <w:p>
            <w:pPr>
              <w:ind w:firstLine="440" w:firstLineChars="200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5)气雾室肺炎克雷伯氏菌、金黄色葡萄球菌、黑曲霉菌、龟分枝杆菌的杀灭率＞99.9%；</w:t>
            </w:r>
          </w:p>
          <w:p>
            <w:pPr>
              <w:ind w:firstLine="440" w:firstLineChars="200"/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6）气雾室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冠状病毒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HCoV-229E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、甲型流感病毒H3N2的杀灭率＞99.99%。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  <w:t>五、功能及技术先进性要求：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1、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远程红外线遥控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可实时显示北京时间，故障报警，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可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查询显示累计时间等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；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高、中、低三挡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可调风速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供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用户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选择；手控、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遥控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多种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控制方式供用户选择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；手动、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定时、临时多种工作模式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方便用户操作；遥控器上设有一键锁定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功能，防止误操作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；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★3、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程控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数量（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定时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消毒）≥6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组，具备工作时间自动累计功能，满足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</w:rPr>
              <w:t>临床需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</w:rPr>
              <w:t>求；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4、采用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复合式过滤器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，可有效去除有机气体和医院的各种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异味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采用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新型多功能两段式等离子体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模块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，杀菌效率高，集尘效果好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方便维护保养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；</w:t>
            </w:r>
          </w:p>
          <w:p>
            <w:pPr>
              <w:ind w:firstLine="440" w:firstLineChars="2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产品具有报警功能，等离子体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杀菌净化模块故障报警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过滤器清洗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维护报警、风机故障报警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2"/>
              </w:rPr>
              <w:t>六、质量要求：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★1、 产品证件齐全，公司具有国家颁发的卫生许可证、生产许可证、经营许可证；</w:t>
            </w:r>
          </w:p>
          <w:p>
            <w:pPr>
              <w:ind w:firstLine="220" w:firstLineChars="100"/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ascii="Segoe UI Symbol" w:hAnsi="Segoe UI Symbol" w:eastAsia="仿宋_GB2312" w:cs="Segoe UI Symbol"/>
                <w:sz w:val="22"/>
                <w:szCs w:val="22"/>
              </w:rPr>
              <w:t>★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Segoe UI Symbol" w:hAnsi="Segoe UI Symbol" w:eastAsia="仿宋_GB2312" w:cs="Segoe UI Symbol"/>
                <w:sz w:val="22"/>
                <w:szCs w:val="22"/>
                <w:lang w:val="en-US" w:eastAsia="zh-CN"/>
              </w:rPr>
              <w:t>、产品需在全国消毒产品网上备案信息服务平台备案，并提供备案截图。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51D4209C"/>
    <w:rsid w:val="08D00390"/>
    <w:rsid w:val="51D4209C"/>
    <w:rsid w:val="66A7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</w:rPr>
  </w:style>
  <w:style w:type="character" w:customStyle="1" w:styleId="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2023-12-13T06:36:00Z</dcterms:created>
  <dc:creator>Administrator</dc:creator>
  <cp:lastModifiedBy>至诚之力</cp:lastModifiedBy>
  <dcterms:modified xsi:type="dcterms:W3CDTF">2023-12-19T01:29:21Z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36348F644E77434F85C699E25288E59A_11</vt:lpwstr>
  </property>
</Properties>
</file>