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Hans"/>
        </w:rPr>
        <w:t>高频胸壁振荡排痰仪</w:t>
      </w:r>
      <w:r>
        <w:rPr>
          <w:rFonts w:hint="eastAsia"/>
          <w:lang w:val="en-US" w:eastAsia="zh-CN"/>
        </w:rPr>
        <w:t>技术参数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振动频率：≤17Hz，控制精度±15%，调节步长1Hz，长按可连续调节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振动压力：1-3.5kPa，1-10级可调，调节步长1级，长按可连续调节，控制精度±0.2kPa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定时时间：1-60min可调，调节步长1min，长按可连续调节，控制精度±1%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人机交互界面：大尺寸操作界面，内嵌高清彩色液晶显示屏，中文导航式操作指引，多参数显示及可调（频率、压力、治疗时间等）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亮度调节：显示屏亮度1-10级可调，给用户更好的体验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治疗模式：多种治疗模式可选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咳嗽暂停功能：咳嗽暂停时间为10s-5min可调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紧急停止保护：通过手持开关实现患者自主的一键急停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自动泄压功能：在按下暂停键后，充气气囊压力从最大压力下降到0.2kPa的时间≤10s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空气脉冲发生器：采用直流无刷电机和鼓风机，能量输出稳定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▲背心设计：全胸充气背心采用“倒V式”设计，在确保患者有效咳嗽、咳痰时，避免对胃脘部的振荡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▲背心类型：多种背心式或胸带式气囊可选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▲背心长度调节：背心长度可调，可满足不同体型患者需求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背心组成：背心由外套及气囊两部分组成，背心内衬可拆卸，满足单人单用，避免交叉感染，外套可按普通衣物的方式进行清洗和消毒，洗后可与内层气囊重新组装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39" w:leftChars="0" w:hanging="641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配置移动台车，方便病床间移动治疗</w:t>
      </w:r>
    </w:p>
    <w:p>
      <w:pPr>
        <w:rPr>
          <w:rFonts w:hint="eastAsia"/>
          <w:lang w:val="en-US" w:eastAsia="zh-Hans"/>
        </w:rPr>
      </w:pPr>
    </w:p>
    <w:p>
      <w:pPr>
        <w:pStyle w:val="2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A22BD"/>
    <w:multiLevelType w:val="singleLevel"/>
    <w:tmpl w:val="0E6A22BD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7B2526FA"/>
    <w:rsid w:val="7B25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2024-05-23T01:12:00Z</dcterms:created>
  <dc:creator>至诚之力</dc:creator>
  <cp:lastModifiedBy>至诚之力</cp:lastModifiedBy>
  <dcterms:modified xsi:type="dcterms:W3CDTF">2024-05-23T01:17:25Z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E22C53649EE244F69204B49BCB2A10F7_11</vt:lpwstr>
  </property>
</Properties>
</file>