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招标采购代理机构评分标准（包组1、包组2）</w:t>
      </w:r>
    </w:p>
    <w:p>
      <w:pPr>
        <w:spacing w:line="400" w:lineRule="exact"/>
        <w:ind w:firstLine="560" w:firstLineChars="200"/>
        <w:rPr>
          <w:rFonts w:ascii="仿宋" w:hAnsi="仿宋" w:eastAsia="仿宋" w:cs="仿宋"/>
          <w:sz w:val="28"/>
          <w:szCs w:val="28"/>
        </w:rPr>
      </w:pPr>
    </w:p>
    <w:tbl>
      <w:tblPr>
        <w:tblStyle w:val="6"/>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572"/>
        <w:gridCol w:w="6257"/>
        <w:gridCol w:w="836"/>
      </w:tblGrid>
      <w:tr>
        <w:trPr>
          <w:trHeight w:val="765" w:hRule="atLeast"/>
          <w:jc w:val="center"/>
        </w:trPr>
        <w:tc>
          <w:tcPr>
            <w:tcW w:w="995" w:type="dxa"/>
            <w:shd w:val="clear" w:color="auto" w:fill="auto"/>
            <w:vAlign w:val="center"/>
          </w:tcPr>
          <w:p>
            <w:pPr>
              <w:widowControl/>
              <w:spacing w:line="48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序号</w:t>
            </w:r>
          </w:p>
        </w:tc>
        <w:tc>
          <w:tcPr>
            <w:tcW w:w="1572" w:type="dxa"/>
            <w:shd w:val="clear" w:color="auto" w:fill="auto"/>
            <w:vAlign w:val="center"/>
          </w:tcPr>
          <w:p>
            <w:pPr>
              <w:widowControl/>
              <w:spacing w:line="48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评审内容</w:t>
            </w:r>
          </w:p>
        </w:tc>
        <w:tc>
          <w:tcPr>
            <w:tcW w:w="6257" w:type="dxa"/>
            <w:shd w:val="clear" w:color="auto" w:fill="auto"/>
            <w:vAlign w:val="center"/>
          </w:tcPr>
          <w:p>
            <w:pPr>
              <w:widowControl/>
              <w:spacing w:line="48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评审指标</w:t>
            </w:r>
          </w:p>
        </w:tc>
        <w:tc>
          <w:tcPr>
            <w:tcW w:w="836" w:type="dxa"/>
            <w:shd w:val="clear" w:color="auto" w:fill="auto"/>
            <w:vAlign w:val="center"/>
          </w:tcPr>
          <w:p>
            <w:pPr>
              <w:widowControl/>
              <w:spacing w:line="48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分值</w:t>
            </w:r>
          </w:p>
        </w:tc>
      </w:tr>
      <w:tr>
        <w:trPr>
          <w:trHeight w:val="416" w:hRule="atLeast"/>
          <w:jc w:val="center"/>
        </w:trPr>
        <w:tc>
          <w:tcPr>
            <w:tcW w:w="995" w:type="dxa"/>
            <w:shd w:val="clear" w:color="auto" w:fill="auto"/>
            <w:vAlign w:val="center"/>
          </w:tcPr>
          <w:p>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1572" w:type="dxa"/>
            <w:shd w:val="clear" w:color="auto" w:fill="auto"/>
            <w:vAlign w:val="center"/>
          </w:tcPr>
          <w:p>
            <w:pPr>
              <w:pStyle w:val="3"/>
              <w:spacing w:line="480" w:lineRule="exact"/>
              <w:jc w:val="center"/>
              <w:rPr>
                <w:rFonts w:ascii="仿宋" w:hAnsi="仿宋" w:eastAsia="仿宋" w:cs="仿宋"/>
                <w:sz w:val="28"/>
                <w:szCs w:val="28"/>
              </w:rPr>
            </w:pPr>
            <w:r>
              <w:rPr>
                <w:rFonts w:hint="eastAsia" w:ascii="仿宋" w:hAnsi="仿宋" w:eastAsia="仿宋" w:cs="仿宋"/>
                <w:sz w:val="28"/>
                <w:szCs w:val="28"/>
              </w:rPr>
              <w:t>服务方案</w:t>
            </w:r>
          </w:p>
        </w:tc>
        <w:tc>
          <w:tcPr>
            <w:tcW w:w="6257" w:type="dxa"/>
            <w:shd w:val="clear" w:color="auto" w:fill="auto"/>
            <w:vAlign w:val="center"/>
          </w:tcPr>
          <w:p>
            <w:pPr>
              <w:spacing w:line="480" w:lineRule="exact"/>
              <w:jc w:val="left"/>
              <w:rPr>
                <w:rFonts w:ascii="仿宋" w:hAnsi="仿宋" w:eastAsia="仿宋" w:cs="仿宋"/>
                <w:sz w:val="28"/>
                <w:szCs w:val="28"/>
              </w:rPr>
            </w:pPr>
            <w:r>
              <w:rPr>
                <w:rFonts w:hint="eastAsia" w:ascii="仿宋" w:hAnsi="仿宋" w:eastAsia="仿宋" w:cs="仿宋"/>
                <w:sz w:val="28"/>
                <w:szCs w:val="28"/>
              </w:rPr>
              <w:t>根据供应商提供的服务方案进行评审，包括但不限于服务响应承诺、标书编制及项目工作思路和方法、招标采购工作重点难点分析、质疑（异议）投诉应对措施、服务质量保证措施等。</w:t>
            </w:r>
          </w:p>
          <w:p>
            <w:pPr>
              <w:spacing w:line="480" w:lineRule="exact"/>
              <w:jc w:val="left"/>
              <w:rPr>
                <w:rFonts w:ascii="仿宋" w:hAnsi="仿宋" w:eastAsia="仿宋" w:cs="仿宋"/>
                <w:sz w:val="28"/>
                <w:szCs w:val="28"/>
              </w:rPr>
            </w:pPr>
            <w:r>
              <w:rPr>
                <w:rFonts w:hint="eastAsia" w:ascii="仿宋" w:hAnsi="仿宋" w:eastAsia="仿宋" w:cs="仿宋"/>
                <w:sz w:val="28"/>
                <w:szCs w:val="28"/>
              </w:rPr>
              <w:t>1、服务方案专业规范、合理、可行，服务响应迅速，标书编制及项目工作思路和方法准确、清晰、合理，招标采购工作重点难点分析透彻，质疑（异议）投诉应对措施得当，服务质量保证措施完善，满足项目实施需要的，得</w:t>
            </w:r>
            <w:r>
              <w:rPr>
                <w:rFonts w:ascii="仿宋" w:hAnsi="仿宋" w:eastAsia="仿宋" w:cs="仿宋"/>
                <w:sz w:val="28"/>
                <w:szCs w:val="28"/>
              </w:rPr>
              <w:t>10-13</w:t>
            </w:r>
            <w:r>
              <w:rPr>
                <w:rFonts w:hint="eastAsia" w:ascii="仿宋" w:hAnsi="仿宋" w:eastAsia="仿宋" w:cs="仿宋"/>
                <w:sz w:val="28"/>
                <w:szCs w:val="28"/>
              </w:rPr>
              <w:t>分；</w:t>
            </w:r>
          </w:p>
          <w:p>
            <w:pPr>
              <w:spacing w:line="480" w:lineRule="exact"/>
              <w:jc w:val="left"/>
              <w:rPr>
                <w:rFonts w:ascii="仿宋" w:hAnsi="仿宋" w:eastAsia="仿宋" w:cs="仿宋"/>
                <w:sz w:val="28"/>
                <w:szCs w:val="28"/>
              </w:rPr>
            </w:pPr>
            <w:r>
              <w:rPr>
                <w:rFonts w:hint="eastAsia" w:ascii="仿宋" w:hAnsi="仿宋" w:eastAsia="仿宋" w:cs="仿宋"/>
                <w:sz w:val="28"/>
                <w:szCs w:val="28"/>
              </w:rPr>
              <w:t>2、服务方案较专业规范、较合理、较可行，服务响应较迅速，标书编制及项目工作思路和方法较准确、较清晰、较合理，招标采购工作重点难点分析较透彻，质疑（异议）投诉应对措施较得当，服务质量保证措施较完善，较好满足项目实施需要的，得</w:t>
            </w:r>
            <w:r>
              <w:rPr>
                <w:rFonts w:ascii="仿宋" w:hAnsi="仿宋" w:eastAsia="仿宋" w:cs="仿宋"/>
                <w:sz w:val="28"/>
                <w:szCs w:val="28"/>
              </w:rPr>
              <w:t>6-9</w:t>
            </w:r>
            <w:r>
              <w:rPr>
                <w:rFonts w:hint="eastAsia" w:ascii="仿宋" w:hAnsi="仿宋" w:eastAsia="仿宋" w:cs="仿宋"/>
                <w:sz w:val="28"/>
                <w:szCs w:val="28"/>
              </w:rPr>
              <w:t>分；</w:t>
            </w:r>
          </w:p>
          <w:p>
            <w:pPr>
              <w:spacing w:line="480" w:lineRule="exact"/>
              <w:jc w:val="left"/>
              <w:rPr>
                <w:rFonts w:ascii="仿宋" w:hAnsi="仿宋" w:eastAsia="仿宋" w:cs="仿宋"/>
                <w:sz w:val="28"/>
                <w:szCs w:val="28"/>
              </w:rPr>
            </w:pPr>
            <w:r>
              <w:rPr>
                <w:rFonts w:hint="eastAsia" w:ascii="仿宋" w:hAnsi="仿宋" w:eastAsia="仿宋" w:cs="仿宋"/>
                <w:sz w:val="28"/>
                <w:szCs w:val="28"/>
              </w:rPr>
              <w:t>3、服务方案基本专业规范、基本合理、基本可行，服务响应速度一般，标书编制及项目工作思路和方法基本准确、基本清晰、基本合理，招标采购工作重点难点分析基本透彻，质疑（异议）投诉应对措施基本得当，服务质量保证措施基本完善，基本满足项目实施需要的，得</w:t>
            </w:r>
            <w:r>
              <w:rPr>
                <w:rFonts w:ascii="仿宋" w:hAnsi="仿宋" w:eastAsia="仿宋" w:cs="仿宋"/>
                <w:sz w:val="28"/>
                <w:szCs w:val="28"/>
              </w:rPr>
              <w:t>2-5</w:t>
            </w:r>
            <w:r>
              <w:rPr>
                <w:rFonts w:hint="eastAsia" w:ascii="仿宋" w:hAnsi="仿宋" w:eastAsia="仿宋" w:cs="仿宋"/>
                <w:sz w:val="28"/>
                <w:szCs w:val="28"/>
              </w:rPr>
              <w:t>分；</w:t>
            </w:r>
          </w:p>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4、未提供服务方案的，得0分。</w:t>
            </w:r>
          </w:p>
        </w:tc>
        <w:tc>
          <w:tcPr>
            <w:tcW w:w="836" w:type="dxa"/>
            <w:shd w:val="clear" w:color="auto" w:fill="auto"/>
            <w:vAlign w:val="center"/>
          </w:tcPr>
          <w:p>
            <w:pPr>
              <w:widowControl/>
              <w:spacing w:line="48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13分</w:t>
            </w:r>
          </w:p>
        </w:tc>
      </w:tr>
      <w:tr>
        <w:trPr>
          <w:trHeight w:val="765" w:hRule="atLeast"/>
          <w:jc w:val="center"/>
        </w:trPr>
        <w:tc>
          <w:tcPr>
            <w:tcW w:w="995" w:type="dxa"/>
            <w:shd w:val="clear" w:color="auto" w:fill="auto"/>
            <w:vAlign w:val="center"/>
          </w:tcPr>
          <w:p>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2</w:t>
            </w:r>
          </w:p>
        </w:tc>
        <w:tc>
          <w:tcPr>
            <w:tcW w:w="1572" w:type="dxa"/>
            <w:shd w:val="clear" w:color="auto" w:fill="auto"/>
            <w:vAlign w:val="center"/>
          </w:tcPr>
          <w:p>
            <w:pPr>
              <w:pStyle w:val="3"/>
              <w:spacing w:line="480" w:lineRule="exact"/>
              <w:jc w:val="center"/>
              <w:rPr>
                <w:rFonts w:ascii="仿宋" w:hAnsi="仿宋" w:eastAsia="仿宋" w:cs="仿宋"/>
                <w:sz w:val="28"/>
                <w:szCs w:val="28"/>
              </w:rPr>
            </w:pPr>
            <w:r>
              <w:rPr>
                <w:rFonts w:hint="eastAsia" w:ascii="仿宋" w:hAnsi="仿宋" w:eastAsia="仿宋" w:cs="仿宋"/>
                <w:sz w:val="28"/>
                <w:szCs w:val="28"/>
              </w:rPr>
              <w:t>规章管理制度</w:t>
            </w:r>
          </w:p>
        </w:tc>
        <w:tc>
          <w:tcPr>
            <w:tcW w:w="6257" w:type="dxa"/>
            <w:shd w:val="clear" w:color="auto" w:fill="auto"/>
            <w:vAlign w:val="center"/>
          </w:tcPr>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根据供应商提供的各项规章管理制度是否健全、完善进行评审，包括内部行政管理制度、业务操作规范等。</w:t>
            </w:r>
          </w:p>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1、规章管理制度健全、完善的，得8-10分；</w:t>
            </w:r>
          </w:p>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2、规章管理制度较健全、完善的，得5-7分；</w:t>
            </w:r>
          </w:p>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3、规章管理制度基本健全</w:t>
            </w:r>
            <w:r>
              <w:rPr>
                <w:rFonts w:hint="eastAsia" w:ascii="仿宋" w:hAnsi="仿宋" w:eastAsia="仿宋" w:cs="宋体"/>
                <w:sz w:val="28"/>
                <w:szCs w:val="28"/>
              </w:rPr>
              <w:t>、完善</w:t>
            </w:r>
            <w:r>
              <w:rPr>
                <w:rFonts w:hint="eastAsia" w:ascii="仿宋" w:hAnsi="仿宋" w:eastAsia="仿宋" w:cs="仿宋"/>
                <w:sz w:val="28"/>
                <w:szCs w:val="28"/>
              </w:rPr>
              <w:t>的，得1-4分；</w:t>
            </w:r>
          </w:p>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4、无提供相关描述的，得0分。</w:t>
            </w:r>
          </w:p>
        </w:tc>
        <w:tc>
          <w:tcPr>
            <w:tcW w:w="836" w:type="dxa"/>
            <w:shd w:val="clear" w:color="auto" w:fill="auto"/>
            <w:vAlign w:val="center"/>
          </w:tcPr>
          <w:p>
            <w:pPr>
              <w:widowControl/>
              <w:spacing w:line="48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10分</w:t>
            </w:r>
          </w:p>
        </w:tc>
      </w:tr>
      <w:tr>
        <w:trPr>
          <w:trHeight w:val="765" w:hRule="atLeast"/>
          <w:jc w:val="center"/>
        </w:trPr>
        <w:tc>
          <w:tcPr>
            <w:tcW w:w="995" w:type="dxa"/>
            <w:shd w:val="clear" w:color="auto" w:fill="auto"/>
            <w:vAlign w:val="center"/>
          </w:tcPr>
          <w:p>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3</w:t>
            </w:r>
          </w:p>
        </w:tc>
        <w:tc>
          <w:tcPr>
            <w:tcW w:w="1572" w:type="dxa"/>
            <w:shd w:val="clear" w:color="auto" w:fill="auto"/>
            <w:vAlign w:val="center"/>
          </w:tcPr>
          <w:p>
            <w:pPr>
              <w:pStyle w:val="3"/>
              <w:spacing w:line="480" w:lineRule="exact"/>
              <w:jc w:val="center"/>
              <w:rPr>
                <w:rFonts w:ascii="仿宋" w:hAnsi="仿宋" w:eastAsia="仿宋" w:cs="仿宋"/>
                <w:sz w:val="28"/>
                <w:szCs w:val="28"/>
              </w:rPr>
            </w:pPr>
            <w:r>
              <w:rPr>
                <w:rFonts w:hint="eastAsia" w:ascii="仿宋" w:hAnsi="仿宋" w:eastAsia="仿宋" w:cs="仿宋"/>
                <w:sz w:val="28"/>
                <w:szCs w:val="28"/>
              </w:rPr>
              <w:t>企业管理体系认证情况</w:t>
            </w:r>
          </w:p>
        </w:tc>
        <w:tc>
          <w:tcPr>
            <w:tcW w:w="6257" w:type="dxa"/>
            <w:shd w:val="clear" w:color="auto" w:fill="auto"/>
          </w:tcPr>
          <w:p>
            <w:pPr>
              <w:pStyle w:val="3"/>
              <w:spacing w:line="480" w:lineRule="exact"/>
              <w:rPr>
                <w:rFonts w:ascii="仿宋" w:hAnsi="仿宋" w:eastAsia="仿宋" w:cs="仿宋"/>
                <w:sz w:val="28"/>
                <w:szCs w:val="28"/>
              </w:rPr>
            </w:pPr>
            <w:r>
              <w:rPr>
                <w:rFonts w:hint="eastAsia" w:ascii="仿宋" w:hAnsi="仿宋" w:eastAsia="仿宋" w:cs="仿宋"/>
                <w:sz w:val="28"/>
                <w:szCs w:val="28"/>
              </w:rPr>
              <w:t>供应商具有有效的质量管理体系认证证书、环境管理体系认证证书和职业健康安全管理体系认证证书，且认证范围包含招标采购代理相关内容的，每个证书得4分，其他或没有的得0分。本项最高得分为12分。</w:t>
            </w:r>
          </w:p>
          <w:p>
            <w:pPr>
              <w:pStyle w:val="3"/>
              <w:spacing w:line="480" w:lineRule="exact"/>
              <w:rPr>
                <w:rFonts w:ascii="仿宋" w:hAnsi="仿宋" w:eastAsia="仿宋" w:cs="仿宋"/>
                <w:sz w:val="28"/>
                <w:szCs w:val="28"/>
              </w:rPr>
            </w:pPr>
            <w:r>
              <w:rPr>
                <w:rFonts w:hint="eastAsia" w:ascii="仿宋" w:hAnsi="仿宋" w:eastAsia="仿宋" w:cs="仿宋"/>
                <w:sz w:val="28"/>
                <w:szCs w:val="28"/>
              </w:rPr>
              <w:t>注：需提供相应认证证书复印件，并加盖供应商单位公章，不提供不得分。</w:t>
            </w:r>
          </w:p>
        </w:tc>
        <w:tc>
          <w:tcPr>
            <w:tcW w:w="836" w:type="dxa"/>
            <w:shd w:val="clear" w:color="auto" w:fill="auto"/>
            <w:vAlign w:val="center"/>
          </w:tcPr>
          <w:p>
            <w:pPr>
              <w:widowControl/>
              <w:spacing w:line="48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12分</w:t>
            </w:r>
          </w:p>
        </w:tc>
      </w:tr>
      <w:tr>
        <w:trPr>
          <w:trHeight w:val="765" w:hRule="atLeast"/>
          <w:jc w:val="center"/>
        </w:trPr>
        <w:tc>
          <w:tcPr>
            <w:tcW w:w="995" w:type="dxa"/>
            <w:shd w:val="clear" w:color="auto" w:fill="auto"/>
            <w:vAlign w:val="center"/>
          </w:tcPr>
          <w:p>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4</w:t>
            </w:r>
          </w:p>
        </w:tc>
        <w:tc>
          <w:tcPr>
            <w:tcW w:w="1572" w:type="dxa"/>
            <w:shd w:val="clear" w:color="auto" w:fill="auto"/>
            <w:vAlign w:val="center"/>
          </w:tcPr>
          <w:p>
            <w:pPr>
              <w:pStyle w:val="3"/>
              <w:spacing w:line="480" w:lineRule="exact"/>
              <w:jc w:val="center"/>
              <w:rPr>
                <w:rFonts w:ascii="仿宋" w:hAnsi="仿宋" w:eastAsia="仿宋" w:cs="仿宋"/>
                <w:sz w:val="28"/>
                <w:szCs w:val="28"/>
              </w:rPr>
            </w:pPr>
            <w:r>
              <w:rPr>
                <w:rFonts w:hint="eastAsia" w:ascii="仿宋" w:hAnsi="仿宋" w:eastAsia="仿宋" w:cs="仿宋"/>
                <w:sz w:val="28"/>
                <w:szCs w:val="28"/>
              </w:rPr>
              <w:t>企业信誉情况</w:t>
            </w:r>
          </w:p>
        </w:tc>
        <w:tc>
          <w:tcPr>
            <w:tcW w:w="6257" w:type="dxa"/>
            <w:shd w:val="clear" w:color="auto" w:fill="auto"/>
            <w:vAlign w:val="center"/>
          </w:tcPr>
          <w:p>
            <w:pPr>
              <w:spacing w:line="480" w:lineRule="exact"/>
              <w:jc w:val="left"/>
              <w:rPr>
                <w:rFonts w:ascii="仿宋" w:hAnsi="仿宋" w:eastAsia="仿宋" w:cs="仿宋"/>
                <w:sz w:val="28"/>
                <w:szCs w:val="28"/>
              </w:rPr>
            </w:pPr>
            <w:r>
              <w:rPr>
                <w:rFonts w:hint="eastAsia" w:ascii="仿宋" w:hAnsi="仿宋" w:eastAsia="仿宋" w:cs="仿宋"/>
                <w:sz w:val="28"/>
                <w:szCs w:val="28"/>
              </w:rPr>
              <w:t>1、供应商获得过市场监督管理部门授予的“守合同重信用企业”称号的，得4分。</w:t>
            </w:r>
          </w:p>
          <w:p>
            <w:pPr>
              <w:spacing w:line="480" w:lineRule="exact"/>
              <w:jc w:val="left"/>
              <w:rPr>
                <w:rFonts w:ascii="仿宋" w:hAnsi="仿宋" w:eastAsia="仿宋" w:cs="仿宋"/>
                <w:sz w:val="28"/>
                <w:szCs w:val="28"/>
              </w:rPr>
            </w:pPr>
            <w:r>
              <w:rPr>
                <w:rFonts w:hint="eastAsia" w:ascii="仿宋" w:hAnsi="仿宋" w:eastAsia="仿宋" w:cs="仿宋"/>
                <w:sz w:val="28"/>
                <w:szCs w:val="28"/>
              </w:rPr>
              <w:t>2、供应商获得过税务部门颁发的A级纳税人荣誉证书的，得3分。</w:t>
            </w:r>
          </w:p>
          <w:p>
            <w:pPr>
              <w:spacing w:line="480" w:lineRule="exact"/>
              <w:jc w:val="left"/>
              <w:rPr>
                <w:rFonts w:ascii="仿宋" w:hAnsi="仿宋" w:eastAsia="仿宋" w:cs="仿宋"/>
                <w:sz w:val="28"/>
                <w:szCs w:val="28"/>
              </w:rPr>
            </w:pPr>
            <w:r>
              <w:rPr>
                <w:rFonts w:hint="eastAsia" w:ascii="仿宋" w:hAnsi="仿宋" w:eastAsia="仿宋" w:cs="仿宋"/>
                <w:sz w:val="28"/>
                <w:szCs w:val="28"/>
              </w:rPr>
              <w:t>3、供应商具有有效的AAA级信用等级证书的，得3分。</w:t>
            </w:r>
          </w:p>
          <w:p>
            <w:pPr>
              <w:pStyle w:val="3"/>
              <w:spacing w:line="480" w:lineRule="exact"/>
              <w:rPr>
                <w:rFonts w:ascii="仿宋" w:hAnsi="仿宋" w:eastAsia="仿宋" w:cs="仿宋"/>
                <w:sz w:val="28"/>
                <w:szCs w:val="28"/>
              </w:rPr>
            </w:pPr>
            <w:r>
              <w:rPr>
                <w:rFonts w:hint="eastAsia" w:ascii="仿宋" w:hAnsi="仿宋" w:eastAsia="仿宋" w:cs="仿宋"/>
                <w:sz w:val="28"/>
                <w:szCs w:val="28"/>
              </w:rPr>
              <w:t>其他或没有的得0分。本项最高得分为10分。</w:t>
            </w:r>
          </w:p>
          <w:p>
            <w:pPr>
              <w:pStyle w:val="2"/>
              <w:spacing w:line="480" w:lineRule="exact"/>
              <w:rPr>
                <w:rFonts w:ascii="仿宋" w:hAnsi="仿宋" w:eastAsia="仿宋" w:cs="仿宋"/>
                <w:szCs w:val="28"/>
              </w:rPr>
            </w:pPr>
            <w:r>
              <w:rPr>
                <w:rFonts w:hint="eastAsia" w:ascii="仿宋" w:hAnsi="仿宋" w:eastAsia="仿宋" w:cs="仿宋"/>
                <w:szCs w:val="28"/>
              </w:rPr>
              <w:t>注：需提供相应证书（或证明）复印件，并加盖供应商单位公章，不提供不得分。</w:t>
            </w:r>
          </w:p>
        </w:tc>
        <w:tc>
          <w:tcPr>
            <w:tcW w:w="836" w:type="dxa"/>
            <w:shd w:val="clear" w:color="auto" w:fill="auto"/>
            <w:vAlign w:val="center"/>
          </w:tcPr>
          <w:p>
            <w:pPr>
              <w:widowControl/>
              <w:spacing w:line="48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10分</w:t>
            </w:r>
          </w:p>
        </w:tc>
      </w:tr>
      <w:tr>
        <w:trPr>
          <w:trHeight w:val="765" w:hRule="atLeast"/>
          <w:jc w:val="center"/>
        </w:trPr>
        <w:tc>
          <w:tcPr>
            <w:tcW w:w="995" w:type="dxa"/>
            <w:shd w:val="clear" w:color="auto" w:fill="auto"/>
            <w:vAlign w:val="center"/>
          </w:tcPr>
          <w:p>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5</w:t>
            </w:r>
          </w:p>
        </w:tc>
        <w:tc>
          <w:tcPr>
            <w:tcW w:w="1572" w:type="dxa"/>
            <w:shd w:val="clear" w:color="auto" w:fill="auto"/>
            <w:vAlign w:val="center"/>
          </w:tcPr>
          <w:p>
            <w:pPr>
              <w:pStyle w:val="3"/>
              <w:spacing w:line="480" w:lineRule="exact"/>
              <w:jc w:val="center"/>
              <w:rPr>
                <w:rFonts w:ascii="仿宋" w:hAnsi="仿宋" w:eastAsia="仿宋" w:cs="仿宋"/>
                <w:sz w:val="28"/>
                <w:szCs w:val="28"/>
              </w:rPr>
            </w:pPr>
            <w:r>
              <w:rPr>
                <w:rFonts w:hint="eastAsia" w:ascii="仿宋" w:hAnsi="仿宋" w:eastAsia="仿宋" w:cs="仿宋"/>
                <w:sz w:val="28"/>
                <w:szCs w:val="28"/>
              </w:rPr>
              <w:t>行业影响力</w:t>
            </w:r>
          </w:p>
        </w:tc>
        <w:tc>
          <w:tcPr>
            <w:tcW w:w="6257" w:type="dxa"/>
            <w:shd w:val="clear" w:color="auto" w:fill="auto"/>
            <w:vAlign w:val="center"/>
          </w:tcPr>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1、供应商为省级及以上相关招标采购行业协会会员及以上单位的，得4分。</w:t>
            </w:r>
          </w:p>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2、供应商为地市级相关招标采购行业协会会员及以上单位的，得3分。</w:t>
            </w:r>
          </w:p>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其他或没有的得0分。本项最高得分为7分。</w:t>
            </w:r>
          </w:p>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注：需提供相应证书（或证明）复印件，并加盖供应商单位公章，不提供不得分。</w:t>
            </w:r>
          </w:p>
        </w:tc>
        <w:tc>
          <w:tcPr>
            <w:tcW w:w="836" w:type="dxa"/>
            <w:shd w:val="clear" w:color="auto" w:fill="auto"/>
            <w:vAlign w:val="center"/>
          </w:tcPr>
          <w:p>
            <w:pPr>
              <w:widowControl/>
              <w:spacing w:line="48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7分</w:t>
            </w:r>
          </w:p>
        </w:tc>
      </w:tr>
      <w:tr>
        <w:trPr>
          <w:trHeight w:val="765" w:hRule="atLeast"/>
          <w:jc w:val="center"/>
        </w:trPr>
        <w:tc>
          <w:tcPr>
            <w:tcW w:w="995" w:type="dxa"/>
            <w:shd w:val="clear" w:color="auto" w:fill="auto"/>
            <w:vAlign w:val="center"/>
          </w:tcPr>
          <w:p>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6</w:t>
            </w:r>
          </w:p>
        </w:tc>
        <w:tc>
          <w:tcPr>
            <w:tcW w:w="1572" w:type="dxa"/>
            <w:shd w:val="clear" w:color="auto" w:fill="auto"/>
            <w:vAlign w:val="center"/>
          </w:tcPr>
          <w:p>
            <w:pPr>
              <w:pStyle w:val="3"/>
              <w:spacing w:line="480" w:lineRule="exact"/>
              <w:jc w:val="center"/>
              <w:rPr>
                <w:rFonts w:ascii="仿宋" w:hAnsi="仿宋" w:eastAsia="仿宋" w:cs="仿宋"/>
                <w:sz w:val="28"/>
                <w:szCs w:val="28"/>
              </w:rPr>
            </w:pPr>
            <w:r>
              <w:rPr>
                <w:rFonts w:hint="eastAsia" w:ascii="仿宋" w:hAnsi="仿宋" w:eastAsia="仿宋" w:cs="仿宋"/>
                <w:sz w:val="28"/>
                <w:szCs w:val="28"/>
              </w:rPr>
              <w:t>服务团队人员配备情况</w:t>
            </w:r>
          </w:p>
        </w:tc>
        <w:tc>
          <w:tcPr>
            <w:tcW w:w="6257" w:type="dxa"/>
            <w:shd w:val="clear" w:color="auto" w:fill="auto"/>
            <w:vAlign w:val="center"/>
          </w:tcPr>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1、团队人员中具有中级或以上职称的人员数量为4人或以上的得3分，3人的得2分，2人的得1分，没有的不得分，最高得3分。</w:t>
            </w:r>
          </w:p>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2、团队人员中具有本科或以上学历的人员数量为6人或以上的得2分，3-5人的得1分，其他或没有的不得分，最高得2分。</w:t>
            </w:r>
          </w:p>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3、团队人员中具有省级及以上相关招标采购行业协会颁发的招标采购相关培训证书的人员数量为10人或以上的得5分，7-9人的得4分，4-6人的得2分，其他或没有的不得分，最高得5分。</w:t>
            </w:r>
          </w:p>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本项最高得分为10分。</w:t>
            </w:r>
          </w:p>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注：提供上述人员的相关证书、2024年1月份以来任意一个月供应商为上述服务团队人员在服务机构购买社保的社保凭证复印件并加盖供应商单位公章，不提供不得分。</w:t>
            </w:r>
          </w:p>
        </w:tc>
        <w:tc>
          <w:tcPr>
            <w:tcW w:w="836" w:type="dxa"/>
            <w:shd w:val="clear" w:color="auto" w:fill="auto"/>
            <w:vAlign w:val="center"/>
          </w:tcPr>
          <w:p>
            <w:pPr>
              <w:widowControl/>
              <w:spacing w:line="48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10分</w:t>
            </w:r>
          </w:p>
        </w:tc>
      </w:tr>
      <w:tr>
        <w:trPr>
          <w:trHeight w:val="416" w:hRule="atLeast"/>
          <w:jc w:val="center"/>
        </w:trPr>
        <w:tc>
          <w:tcPr>
            <w:tcW w:w="995" w:type="dxa"/>
            <w:shd w:val="clear" w:color="auto" w:fill="auto"/>
            <w:vAlign w:val="center"/>
          </w:tcPr>
          <w:p>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7</w:t>
            </w:r>
          </w:p>
        </w:tc>
        <w:tc>
          <w:tcPr>
            <w:tcW w:w="1572" w:type="dxa"/>
            <w:shd w:val="clear" w:color="auto" w:fill="auto"/>
            <w:vAlign w:val="center"/>
          </w:tcPr>
          <w:p>
            <w:pPr>
              <w:pStyle w:val="3"/>
              <w:spacing w:line="480" w:lineRule="exact"/>
              <w:jc w:val="center"/>
              <w:rPr>
                <w:rFonts w:ascii="仿宋" w:hAnsi="仿宋" w:eastAsia="仿宋" w:cs="仿宋"/>
                <w:sz w:val="28"/>
                <w:szCs w:val="28"/>
              </w:rPr>
            </w:pPr>
            <w:r>
              <w:rPr>
                <w:rFonts w:hint="eastAsia" w:ascii="仿宋" w:hAnsi="仿宋" w:eastAsia="仿宋" w:cs="仿宋"/>
                <w:sz w:val="28"/>
                <w:szCs w:val="28"/>
              </w:rPr>
              <w:t>场地情况</w:t>
            </w:r>
          </w:p>
        </w:tc>
        <w:tc>
          <w:tcPr>
            <w:tcW w:w="6257" w:type="dxa"/>
            <w:shd w:val="clear" w:color="auto" w:fill="auto"/>
            <w:vAlign w:val="center"/>
          </w:tcPr>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1、供应商在江门地区内同时具有办公场地（含开评标场地）和档案室的，得2分；</w:t>
            </w:r>
          </w:p>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2、供应商在江门地区内所具有的开评标场地中具备监控设备的，得2分。</w:t>
            </w:r>
          </w:p>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其他或没有的得0分。本项最高得分为4分。</w:t>
            </w:r>
          </w:p>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注：需提供供应商</w:t>
            </w:r>
            <w:r>
              <w:rPr>
                <w:rFonts w:hint="eastAsia" w:ascii="仿宋" w:hAnsi="仿宋" w:eastAsia="仿宋" w:cs="仿宋"/>
                <w:kern w:val="0"/>
                <w:sz w:val="28"/>
                <w:szCs w:val="28"/>
              </w:rPr>
              <w:t>在江门地区内的工商注册的证明复印件，</w:t>
            </w:r>
            <w:r>
              <w:rPr>
                <w:rFonts w:hint="eastAsia" w:ascii="仿宋" w:hAnsi="仿宋" w:eastAsia="仿宋" w:cs="仿宋"/>
                <w:sz w:val="28"/>
                <w:szCs w:val="28"/>
              </w:rPr>
              <w:t>以及场地房产证或有效的租赁合同复印件和其他硬件条件实景图片，并加盖供应商单位公章，否则不得分。所提供的房产证或租赁合同中须体现供应商单位名称。</w:t>
            </w:r>
          </w:p>
        </w:tc>
        <w:tc>
          <w:tcPr>
            <w:tcW w:w="836" w:type="dxa"/>
            <w:shd w:val="clear" w:color="auto" w:fill="auto"/>
            <w:vAlign w:val="center"/>
          </w:tcPr>
          <w:p>
            <w:pPr>
              <w:widowControl/>
              <w:spacing w:line="48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4分</w:t>
            </w:r>
          </w:p>
        </w:tc>
      </w:tr>
      <w:tr>
        <w:trPr>
          <w:trHeight w:val="766" w:hRule="atLeast"/>
          <w:jc w:val="center"/>
        </w:trPr>
        <w:tc>
          <w:tcPr>
            <w:tcW w:w="995" w:type="dxa"/>
            <w:shd w:val="clear" w:color="auto" w:fill="auto"/>
            <w:vAlign w:val="center"/>
          </w:tcPr>
          <w:p>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8</w:t>
            </w:r>
          </w:p>
        </w:tc>
        <w:tc>
          <w:tcPr>
            <w:tcW w:w="1572" w:type="dxa"/>
            <w:shd w:val="clear" w:color="auto" w:fill="auto"/>
            <w:vAlign w:val="center"/>
          </w:tcPr>
          <w:p>
            <w:pPr>
              <w:pStyle w:val="3"/>
              <w:spacing w:line="480" w:lineRule="exact"/>
              <w:jc w:val="center"/>
              <w:rPr>
                <w:rFonts w:ascii="仿宋" w:hAnsi="仿宋" w:eastAsia="仿宋" w:cs="仿宋"/>
                <w:sz w:val="28"/>
                <w:szCs w:val="28"/>
              </w:rPr>
            </w:pPr>
            <w:r>
              <w:rPr>
                <w:rFonts w:hint="eastAsia" w:ascii="仿宋" w:hAnsi="仿宋" w:eastAsia="仿宋" w:cs="仿宋"/>
                <w:sz w:val="28"/>
                <w:szCs w:val="28"/>
              </w:rPr>
              <w:t>评标专家库</w:t>
            </w:r>
          </w:p>
        </w:tc>
        <w:tc>
          <w:tcPr>
            <w:tcW w:w="6257" w:type="dxa"/>
            <w:shd w:val="clear" w:color="auto" w:fill="auto"/>
            <w:vAlign w:val="center"/>
          </w:tcPr>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供应商具有自己管理的医疗卫生行业分类的专家信息库的，得3分。</w:t>
            </w:r>
          </w:p>
        </w:tc>
        <w:tc>
          <w:tcPr>
            <w:tcW w:w="836" w:type="dxa"/>
            <w:shd w:val="clear" w:color="auto" w:fill="auto"/>
            <w:vAlign w:val="center"/>
          </w:tcPr>
          <w:p>
            <w:pPr>
              <w:widowControl/>
              <w:spacing w:line="480" w:lineRule="exact"/>
              <w:jc w:val="center"/>
              <w:rPr>
                <w:rFonts w:ascii="仿宋" w:hAnsi="仿宋" w:eastAsia="仿宋" w:cs="仿宋"/>
                <w:b/>
                <w:bCs/>
                <w:kern w:val="0"/>
                <w:sz w:val="28"/>
                <w:szCs w:val="28"/>
              </w:rPr>
            </w:pPr>
            <w:r>
              <w:rPr>
                <w:rFonts w:hint="eastAsia" w:ascii="仿宋" w:hAnsi="仿宋" w:eastAsia="仿宋" w:cs="仿宋"/>
                <w:b/>
                <w:sz w:val="28"/>
                <w:szCs w:val="28"/>
              </w:rPr>
              <w:t>3分</w:t>
            </w:r>
          </w:p>
        </w:tc>
      </w:tr>
      <w:tr>
        <w:trPr>
          <w:trHeight w:val="416" w:hRule="atLeast"/>
          <w:jc w:val="center"/>
        </w:trPr>
        <w:tc>
          <w:tcPr>
            <w:tcW w:w="995" w:type="dxa"/>
            <w:shd w:val="clear" w:color="auto" w:fill="auto"/>
            <w:vAlign w:val="center"/>
          </w:tcPr>
          <w:p>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9</w:t>
            </w:r>
          </w:p>
        </w:tc>
        <w:tc>
          <w:tcPr>
            <w:tcW w:w="1572" w:type="dxa"/>
            <w:shd w:val="clear" w:color="auto" w:fill="auto"/>
            <w:vAlign w:val="center"/>
          </w:tcPr>
          <w:p>
            <w:pPr>
              <w:pStyle w:val="3"/>
              <w:spacing w:line="480" w:lineRule="exact"/>
              <w:jc w:val="center"/>
              <w:rPr>
                <w:rFonts w:ascii="仿宋" w:hAnsi="仿宋" w:eastAsia="仿宋" w:cs="仿宋"/>
                <w:sz w:val="28"/>
                <w:szCs w:val="28"/>
              </w:rPr>
            </w:pPr>
            <w:r>
              <w:rPr>
                <w:rFonts w:hint="eastAsia" w:ascii="仿宋" w:hAnsi="仿宋" w:eastAsia="仿宋" w:cs="仿宋"/>
                <w:sz w:val="28"/>
                <w:szCs w:val="28"/>
              </w:rPr>
              <w:t>服务医疗机构的数量情况</w:t>
            </w:r>
          </w:p>
        </w:tc>
        <w:tc>
          <w:tcPr>
            <w:tcW w:w="6257" w:type="dxa"/>
            <w:shd w:val="clear" w:color="auto" w:fill="auto"/>
            <w:vAlign w:val="center"/>
          </w:tcPr>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2019年1月1日至今，供应商服务江门地区内医疗机构的数量：每有1家医院得0.5分，最高得5分。</w:t>
            </w:r>
          </w:p>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其他或没有的得0分。本项最高得分为5分。</w:t>
            </w:r>
          </w:p>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注：需提供项目委托代理协议（同一委托用户只需提供一份委托代理协议）复印件，并加盖供应商单位公章，否则不得分。</w:t>
            </w:r>
          </w:p>
        </w:tc>
        <w:tc>
          <w:tcPr>
            <w:tcW w:w="836" w:type="dxa"/>
            <w:shd w:val="clear" w:color="auto" w:fill="auto"/>
            <w:vAlign w:val="center"/>
          </w:tcPr>
          <w:p>
            <w:pPr>
              <w:widowControl/>
              <w:spacing w:line="480" w:lineRule="exact"/>
              <w:jc w:val="center"/>
              <w:rPr>
                <w:rFonts w:ascii="仿宋" w:hAnsi="仿宋" w:eastAsia="仿宋" w:cs="仿宋"/>
                <w:b/>
                <w:sz w:val="28"/>
                <w:szCs w:val="28"/>
              </w:rPr>
            </w:pPr>
            <w:r>
              <w:rPr>
                <w:rFonts w:hint="eastAsia" w:ascii="仿宋" w:hAnsi="仿宋" w:eastAsia="仿宋" w:cs="仿宋"/>
                <w:b/>
                <w:sz w:val="28"/>
                <w:szCs w:val="28"/>
              </w:rPr>
              <w:t>5分</w:t>
            </w:r>
          </w:p>
        </w:tc>
      </w:tr>
      <w:tr>
        <w:trPr>
          <w:trHeight w:val="765" w:hRule="atLeast"/>
          <w:jc w:val="center"/>
        </w:trPr>
        <w:tc>
          <w:tcPr>
            <w:tcW w:w="995" w:type="dxa"/>
            <w:shd w:val="clear" w:color="auto" w:fill="auto"/>
            <w:vAlign w:val="center"/>
          </w:tcPr>
          <w:p>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10</w:t>
            </w:r>
          </w:p>
        </w:tc>
        <w:tc>
          <w:tcPr>
            <w:tcW w:w="1572" w:type="dxa"/>
            <w:shd w:val="clear" w:color="auto" w:fill="auto"/>
            <w:vAlign w:val="center"/>
          </w:tcPr>
          <w:p>
            <w:pPr>
              <w:pStyle w:val="3"/>
              <w:spacing w:line="480" w:lineRule="exact"/>
              <w:jc w:val="center"/>
              <w:rPr>
                <w:rFonts w:ascii="仿宋" w:hAnsi="仿宋" w:eastAsia="仿宋" w:cs="仿宋"/>
                <w:sz w:val="28"/>
                <w:szCs w:val="28"/>
              </w:rPr>
            </w:pPr>
            <w:r>
              <w:rPr>
                <w:rFonts w:hint="eastAsia" w:ascii="仿宋" w:hAnsi="仿宋" w:eastAsia="仿宋" w:cs="仿宋"/>
                <w:sz w:val="28"/>
                <w:szCs w:val="28"/>
              </w:rPr>
              <w:t>采购代理业绩情况</w:t>
            </w:r>
          </w:p>
        </w:tc>
        <w:tc>
          <w:tcPr>
            <w:tcW w:w="6257" w:type="dxa"/>
            <w:shd w:val="clear" w:color="auto" w:fill="auto"/>
            <w:vAlign w:val="center"/>
          </w:tcPr>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供应商2019年1月1日至今（以协议签订时间为准）承担过行政机关、事业单位和团体组织采购代理项目业绩：</w:t>
            </w:r>
          </w:p>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1、单个采购代理项目中标（成交）金额≥500万元，每个得1分，最高得4分。</w:t>
            </w:r>
            <w:r>
              <w:rPr>
                <w:rFonts w:ascii="仿宋" w:hAnsi="仿宋" w:eastAsia="仿宋" w:cs="仿宋"/>
                <w:sz w:val="28"/>
                <w:szCs w:val="28"/>
              </w:rPr>
              <w:t xml:space="preserve"> </w:t>
            </w:r>
          </w:p>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2、单个采购代理项目中标（成交）金额小于500万元但大于等于200万元，每个得1分，最高得4分。</w:t>
            </w:r>
          </w:p>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3、单个采购代理项目中标（成交）金额小于200万元但大于等于100万元，每个得0.5分，最高得2分。</w:t>
            </w:r>
          </w:p>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其他或没有的不得分。本项最高得分为10分。</w:t>
            </w:r>
          </w:p>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注：需要提供项目委托代理协议及项目中标（成交）通知书复印件，并加盖供应商单位公章，否则不得分。</w:t>
            </w:r>
          </w:p>
        </w:tc>
        <w:tc>
          <w:tcPr>
            <w:tcW w:w="836" w:type="dxa"/>
            <w:shd w:val="clear" w:color="auto" w:fill="auto"/>
            <w:vAlign w:val="center"/>
          </w:tcPr>
          <w:p>
            <w:pPr>
              <w:widowControl/>
              <w:spacing w:line="48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10分</w:t>
            </w:r>
          </w:p>
        </w:tc>
      </w:tr>
      <w:tr>
        <w:trPr>
          <w:trHeight w:val="395" w:hRule="atLeast"/>
          <w:jc w:val="center"/>
        </w:trPr>
        <w:tc>
          <w:tcPr>
            <w:tcW w:w="995" w:type="dxa"/>
            <w:shd w:val="clear" w:color="auto" w:fill="auto"/>
            <w:vAlign w:val="center"/>
          </w:tcPr>
          <w:p>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11</w:t>
            </w:r>
          </w:p>
        </w:tc>
        <w:tc>
          <w:tcPr>
            <w:tcW w:w="1572" w:type="dxa"/>
            <w:shd w:val="clear" w:color="auto" w:fill="auto"/>
            <w:vAlign w:val="center"/>
          </w:tcPr>
          <w:p>
            <w:pPr>
              <w:pStyle w:val="3"/>
              <w:spacing w:line="480" w:lineRule="exact"/>
              <w:jc w:val="center"/>
              <w:rPr>
                <w:rFonts w:ascii="仿宋" w:hAnsi="仿宋" w:eastAsia="仿宋" w:cs="仿宋"/>
                <w:sz w:val="28"/>
                <w:szCs w:val="28"/>
              </w:rPr>
            </w:pPr>
            <w:r>
              <w:rPr>
                <w:rFonts w:hint="eastAsia" w:ascii="仿宋" w:hAnsi="仿宋" w:eastAsia="仿宋" w:cs="仿宋"/>
                <w:sz w:val="28"/>
                <w:szCs w:val="28"/>
              </w:rPr>
              <w:t>用户满意度评价</w:t>
            </w:r>
          </w:p>
        </w:tc>
        <w:tc>
          <w:tcPr>
            <w:tcW w:w="6257" w:type="dxa"/>
            <w:shd w:val="clear" w:color="auto" w:fill="auto"/>
            <w:vAlign w:val="center"/>
          </w:tcPr>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供应商2019年1月1日至今（以协议签订时间为准）承担过的江门地区内医疗卫生体系采购代理项目获得用户单位满意或同等及以上评价的，每提供一份用户满意度评价证明得1分；其他或没有的不得分。本项最高得分为10分。同一用户单位的多份用户满意度评价证明按一份评审，不重复计分。</w:t>
            </w:r>
          </w:p>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注：需提供项目委托代理协议及加盖用户单位公章的用户满意度评价证明复印件，并加盖供应商单位公章，否则不得分。</w:t>
            </w:r>
          </w:p>
        </w:tc>
        <w:tc>
          <w:tcPr>
            <w:tcW w:w="836" w:type="dxa"/>
            <w:shd w:val="clear" w:color="auto" w:fill="auto"/>
            <w:vAlign w:val="center"/>
          </w:tcPr>
          <w:p>
            <w:pPr>
              <w:widowControl/>
              <w:spacing w:line="48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10分</w:t>
            </w:r>
          </w:p>
        </w:tc>
      </w:tr>
      <w:tr>
        <w:trPr>
          <w:trHeight w:val="765" w:hRule="atLeast"/>
          <w:jc w:val="center"/>
        </w:trPr>
        <w:tc>
          <w:tcPr>
            <w:tcW w:w="995" w:type="dxa"/>
            <w:shd w:val="clear" w:color="auto" w:fill="auto"/>
            <w:vAlign w:val="center"/>
          </w:tcPr>
          <w:p>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12</w:t>
            </w:r>
          </w:p>
        </w:tc>
        <w:tc>
          <w:tcPr>
            <w:tcW w:w="1572" w:type="dxa"/>
            <w:shd w:val="clear" w:color="auto" w:fill="auto"/>
            <w:vAlign w:val="center"/>
          </w:tcPr>
          <w:p>
            <w:pPr>
              <w:pStyle w:val="3"/>
              <w:spacing w:line="480" w:lineRule="exact"/>
              <w:jc w:val="center"/>
              <w:rPr>
                <w:rFonts w:ascii="仿宋" w:hAnsi="仿宋" w:eastAsia="仿宋" w:cs="仿宋"/>
                <w:sz w:val="28"/>
                <w:szCs w:val="28"/>
              </w:rPr>
            </w:pPr>
            <w:r>
              <w:rPr>
                <w:rFonts w:hint="eastAsia" w:ascii="仿宋" w:hAnsi="仿宋" w:eastAsia="仿宋" w:cs="仿宋"/>
                <w:sz w:val="28"/>
                <w:szCs w:val="28"/>
              </w:rPr>
              <w:t>法律保障</w:t>
            </w:r>
          </w:p>
        </w:tc>
        <w:tc>
          <w:tcPr>
            <w:tcW w:w="6257" w:type="dxa"/>
            <w:shd w:val="clear" w:color="auto" w:fill="auto"/>
            <w:vAlign w:val="center"/>
          </w:tcPr>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供应商聘任律师事务所法律顾问，为招标采购代理提供法律咨询的，得6分，没有的不得分。本项最高得分为6分。</w:t>
            </w:r>
          </w:p>
          <w:p>
            <w:pPr>
              <w:pStyle w:val="3"/>
              <w:spacing w:line="480" w:lineRule="exact"/>
              <w:jc w:val="left"/>
              <w:rPr>
                <w:rFonts w:ascii="仿宋" w:hAnsi="仿宋" w:eastAsia="仿宋" w:cs="仿宋"/>
                <w:sz w:val="28"/>
                <w:szCs w:val="28"/>
              </w:rPr>
            </w:pPr>
            <w:r>
              <w:rPr>
                <w:rFonts w:hint="eastAsia" w:ascii="仿宋" w:hAnsi="仿宋" w:eastAsia="仿宋" w:cs="仿宋"/>
                <w:sz w:val="28"/>
                <w:szCs w:val="28"/>
              </w:rPr>
              <w:t>注：需提供有效的企业与律师事务所签订的合同复印件并加盖供应商单位公章，没有提供不得分。</w:t>
            </w:r>
          </w:p>
        </w:tc>
        <w:tc>
          <w:tcPr>
            <w:tcW w:w="836" w:type="dxa"/>
            <w:shd w:val="clear" w:color="auto" w:fill="auto"/>
            <w:vAlign w:val="center"/>
          </w:tcPr>
          <w:p>
            <w:pPr>
              <w:widowControl/>
              <w:spacing w:line="48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6分</w:t>
            </w:r>
          </w:p>
        </w:tc>
      </w:tr>
    </w:tbl>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2DA983F"/>
    <w:rsid w:val="E2DA9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sz w:val="28"/>
    </w:rPr>
  </w:style>
  <w:style w:type="paragraph" w:styleId="3">
    <w:name w:val="Plain Text"/>
    <w:basedOn w:val="1"/>
    <w:qFormat/>
    <w:uiPriority w:val="0"/>
    <w:rPr>
      <w:rFonts w:ascii="宋体" w:hAnsi="Courier New"/>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Office_6.7.0.8823_F1E327BC-269C-435d-A152-05C5408002CA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2024-05-31T09:40:00Z</dcterms:created>
  <dc:creator>HakunaMatata</dc:creator>
  <cp:lastModifiedBy>HakunaMatata</cp:lastModifiedBy>
  <dcterms:modified xsi:type="dcterms:W3CDTF">2024-05-31T09:41:43Z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2052-6.7.0.8823</vt:lpwstr>
  </property>
  <property fmtid="{D5CDD505-2E9C-101B-9397-08002B2CF9AE}" pid="3" name="ICV">
    <vt:lpwstr>11EDB65AB2DFE276922A596648C844B4_41</vt:lpwstr>
  </property>
</Properties>
</file>