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宋体" w:hAnsi="宋体" w:cs="宋体"/>
          <w:b/>
          <w:bCs/>
          <w:kern w:val="44"/>
          <w:sz w:val="36"/>
          <w:szCs w:val="36"/>
        </w:rPr>
      </w:pPr>
      <w:bookmarkStart w:id="0" w:name="_Toc20972"/>
      <w:bookmarkStart w:id="1" w:name="_Toc258354220"/>
      <w:r>
        <w:rPr>
          <w:rFonts w:hint="eastAsia" w:ascii="宋体" w:hAnsi="宋体" w:cs="宋体"/>
          <w:b/>
          <w:bCs/>
          <w:kern w:val="44"/>
          <w:sz w:val="36"/>
          <w:szCs w:val="36"/>
        </w:rPr>
        <w:t>技术要求</w:t>
      </w:r>
    </w:p>
    <w:p>
      <w:pPr>
        <w:spacing w:line="400" w:lineRule="exact"/>
        <w:rPr>
          <w:rFonts w:hint="eastAsia" w:ascii="宋体" w:hAnsi="宋体"/>
          <w:sz w:val="24"/>
        </w:rPr>
      </w:pPr>
      <w:r>
        <w:rPr>
          <w:rFonts w:hint="eastAsia" w:ascii="宋体" w:hAnsi="宋体"/>
          <w:b/>
          <w:bCs/>
          <w:sz w:val="24"/>
        </w:rPr>
        <w:t>一、项目名称</w:t>
      </w:r>
      <w:r>
        <w:rPr>
          <w:sz w:val="24"/>
        </w:rPr>
        <w:drawing>
          <wp:anchor distT="0" distB="0" distL="114300" distR="114300" simplePos="0" relativeHeight="251659264" behindDoc="0" locked="0" layoutInCell="1" allowOverlap="1">
            <wp:simplePos x="0" y="0"/>
            <wp:positionH relativeFrom="column">
              <wp:posOffset>-1600200</wp:posOffset>
            </wp:positionH>
            <wp:positionV relativeFrom="paragraph">
              <wp:posOffset>-99060</wp:posOffset>
            </wp:positionV>
            <wp:extent cx="365760" cy="396240"/>
            <wp:effectExtent l="0" t="0" r="15240" b="381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365760" cy="396240"/>
                    </a:xfrm>
                    <a:prstGeom prst="rect">
                      <a:avLst/>
                    </a:prstGeom>
                    <a:solidFill>
                      <a:srgbClr val="FFFF00"/>
                    </a:solidFill>
                    <a:ln>
                      <a:noFill/>
                    </a:ln>
                  </pic:spPr>
                </pic:pic>
              </a:graphicData>
            </a:graphic>
          </wp:anchor>
        </w:drawing>
      </w:r>
      <w:r>
        <w:rPr>
          <w:rFonts w:ascii="宋体" w:hAnsi="宋体"/>
          <w:b/>
          <w:bCs/>
          <w:sz w:val="24"/>
        </w:rPr>
        <w:t>:</w:t>
      </w:r>
      <w:r>
        <w:rPr>
          <w:rFonts w:hint="eastAsia" w:ascii="宋体" w:hAnsi="宋体"/>
          <w:color w:val="000000"/>
          <w:sz w:val="24"/>
        </w:rPr>
        <w:t>关于征集遴选开平市中心医院</w:t>
      </w:r>
      <w:r>
        <w:rPr>
          <w:rFonts w:hint="eastAsia" w:ascii="宋体" w:hAnsi="宋体"/>
          <w:color w:val="000000"/>
          <w:sz w:val="24"/>
          <w:lang w:val="en-US" w:eastAsia="zh-CN"/>
        </w:rPr>
        <w:t>UPS蓄电池</w:t>
      </w:r>
      <w:r>
        <w:rPr>
          <w:rFonts w:hint="eastAsia" w:ascii="宋体" w:hAnsi="宋体"/>
          <w:color w:val="000000"/>
          <w:sz w:val="24"/>
        </w:rPr>
        <w:t>供应商</w:t>
      </w:r>
      <w:r>
        <w:rPr>
          <w:rFonts w:hint="eastAsia" w:ascii="宋体" w:hAnsi="宋体" w:cs="仿宋"/>
          <w:bCs/>
          <w:kern w:val="0"/>
          <w:sz w:val="24"/>
        </w:rPr>
        <w:t>项目</w:t>
      </w:r>
    </w:p>
    <w:p>
      <w:pPr>
        <w:spacing w:line="400" w:lineRule="exact"/>
        <w:rPr>
          <w:rFonts w:ascii="宋体"/>
          <w:b/>
          <w:bCs/>
          <w:sz w:val="24"/>
        </w:rPr>
      </w:pPr>
      <w:r>
        <w:rPr>
          <w:rFonts w:hint="eastAsia" w:ascii="宋体" w:hAnsi="宋体"/>
          <w:b/>
          <w:bCs/>
          <w:sz w:val="24"/>
        </w:rPr>
        <w:t>二、产品的其他要求</w:t>
      </w:r>
    </w:p>
    <w:p>
      <w:pPr>
        <w:spacing w:line="400" w:lineRule="exact"/>
        <w:rPr>
          <w:rFonts w:hint="eastAsia" w:ascii="宋体" w:hAnsi="宋体"/>
          <w:sz w:val="24"/>
        </w:rPr>
      </w:pPr>
      <w:r>
        <w:rPr>
          <w:rFonts w:ascii="宋体" w:hAnsi="宋体"/>
          <w:sz w:val="24"/>
        </w:rPr>
        <w:t xml:space="preserve">1. </w:t>
      </w:r>
      <w:r>
        <w:rPr>
          <w:rFonts w:hint="eastAsia" w:ascii="宋体" w:hAnsi="宋体"/>
          <w:sz w:val="24"/>
        </w:rPr>
        <w:t xml:space="preserve">所响应产品须符合国际、国家标准、行业标准和专业标准等相关生产标准（经营）。 </w:t>
      </w:r>
    </w:p>
    <w:p>
      <w:pPr>
        <w:spacing w:line="400" w:lineRule="exact"/>
        <w:rPr>
          <w:rFonts w:ascii="宋体"/>
          <w:sz w:val="24"/>
        </w:rPr>
      </w:pPr>
      <w:r>
        <w:rPr>
          <w:rFonts w:ascii="宋体" w:hAnsi="宋体"/>
          <w:sz w:val="24"/>
        </w:rPr>
        <w:t>2</w:t>
      </w:r>
      <w:r>
        <w:rPr>
          <w:rFonts w:hint="eastAsia" w:ascii="宋体" w:hAnsi="宋体"/>
          <w:sz w:val="24"/>
        </w:rPr>
        <w:t>．遴选响应人在遴选响应文件中必须提供完整的产品型号、规格、单价等。</w:t>
      </w:r>
    </w:p>
    <w:p>
      <w:pPr>
        <w:spacing w:line="400" w:lineRule="exact"/>
        <w:rPr>
          <w:rFonts w:ascii="宋体"/>
          <w:sz w:val="24"/>
        </w:rPr>
      </w:pPr>
      <w:r>
        <w:rPr>
          <w:rFonts w:hint="eastAsia" w:ascii="宋体" w:hAnsi="宋体"/>
          <w:sz w:val="24"/>
        </w:rPr>
        <w:t>3</w:t>
      </w:r>
      <w:r>
        <w:rPr>
          <w:rFonts w:ascii="宋体" w:hAnsi="宋体"/>
          <w:sz w:val="24"/>
        </w:rPr>
        <w:t xml:space="preserve">. </w:t>
      </w:r>
      <w:r>
        <w:rPr>
          <w:rFonts w:hint="eastAsia" w:ascii="宋体" w:hAnsi="宋体"/>
          <w:sz w:val="24"/>
        </w:rPr>
        <w:t>所响应产品必须是正规渠道提供的近一年内出厂的、全新的、未使用过的合格产品。</w:t>
      </w:r>
    </w:p>
    <w:p>
      <w:pPr>
        <w:spacing w:line="400" w:lineRule="exact"/>
        <w:rPr>
          <w:rFonts w:hint="eastAsia" w:ascii="宋体" w:hAnsi="宋体"/>
          <w:sz w:val="24"/>
        </w:rPr>
      </w:pPr>
      <w:r>
        <w:rPr>
          <w:rFonts w:hint="eastAsia" w:ascii="宋体" w:hAnsi="宋体"/>
          <w:sz w:val="24"/>
        </w:rPr>
        <w:t>4</w:t>
      </w:r>
      <w:r>
        <w:rPr>
          <w:rFonts w:ascii="宋体" w:hAnsi="宋体"/>
          <w:sz w:val="24"/>
        </w:rPr>
        <w:t xml:space="preserve">. </w:t>
      </w:r>
      <w:r>
        <w:rPr>
          <w:rFonts w:hint="eastAsia" w:ascii="宋体" w:hAnsi="宋体"/>
          <w:sz w:val="24"/>
        </w:rPr>
        <w:t xml:space="preserve">遴选响应人在遴选响应文件中应详细说明产品的主要性能指标及技术特点。  </w:t>
      </w:r>
    </w:p>
    <w:p>
      <w:pPr>
        <w:spacing w:line="400" w:lineRule="exact"/>
        <w:rPr>
          <w:rFonts w:ascii="宋体"/>
          <w:b/>
          <w:bCs/>
          <w:sz w:val="24"/>
        </w:rPr>
      </w:pPr>
      <w:r>
        <w:rPr>
          <w:rFonts w:hint="eastAsia" w:ascii="宋体" w:hAnsi="宋体"/>
          <w:b/>
          <w:bCs/>
          <w:sz w:val="24"/>
        </w:rPr>
        <w:t>三、产品的制造、安装、检验和验收执行的标准</w:t>
      </w:r>
    </w:p>
    <w:p>
      <w:pPr>
        <w:spacing w:line="400" w:lineRule="exact"/>
        <w:rPr>
          <w:rFonts w:ascii="宋体"/>
          <w:sz w:val="24"/>
        </w:rPr>
      </w:pPr>
      <w:r>
        <w:rPr>
          <w:rFonts w:ascii="宋体" w:hAnsi="宋体"/>
          <w:sz w:val="24"/>
        </w:rPr>
        <w:t xml:space="preserve">1. </w:t>
      </w:r>
      <w:r>
        <w:rPr>
          <w:rFonts w:hint="eastAsia" w:ascii="宋体" w:hAnsi="宋体"/>
          <w:sz w:val="24"/>
        </w:rPr>
        <w:t>按国家现行有关标准执行。</w:t>
      </w:r>
      <w:bookmarkStart w:id="2" w:name="_GoBack"/>
      <w:bookmarkEnd w:id="2"/>
    </w:p>
    <w:p>
      <w:pPr>
        <w:spacing w:line="400" w:lineRule="exact"/>
        <w:rPr>
          <w:rFonts w:ascii="宋体"/>
          <w:b/>
          <w:bCs/>
          <w:sz w:val="24"/>
        </w:rPr>
      </w:pPr>
      <w:r>
        <w:rPr>
          <w:rFonts w:hint="eastAsia" w:ascii="宋体" w:hAnsi="宋体"/>
          <w:b/>
          <w:bCs/>
          <w:sz w:val="24"/>
        </w:rPr>
        <w:t>四、标志与技术文件</w:t>
      </w:r>
    </w:p>
    <w:p>
      <w:pPr>
        <w:spacing w:line="400" w:lineRule="exact"/>
        <w:rPr>
          <w:rFonts w:ascii="宋体"/>
          <w:sz w:val="24"/>
        </w:rPr>
      </w:pPr>
      <w:r>
        <w:rPr>
          <w:rFonts w:ascii="宋体" w:hAnsi="宋体"/>
          <w:sz w:val="24"/>
        </w:rPr>
        <w:t xml:space="preserve">1. </w:t>
      </w:r>
      <w:r>
        <w:rPr>
          <w:rFonts w:hint="eastAsia" w:ascii="宋体" w:hAnsi="宋体"/>
          <w:sz w:val="24"/>
        </w:rPr>
        <w:t>应符合国家有关规定。</w:t>
      </w:r>
    </w:p>
    <w:p>
      <w:pPr>
        <w:spacing w:line="400" w:lineRule="exact"/>
        <w:rPr>
          <w:rFonts w:hint="eastAsia" w:ascii="宋体" w:hAnsi="宋体"/>
          <w:sz w:val="24"/>
        </w:rPr>
      </w:pPr>
      <w:r>
        <w:rPr>
          <w:rFonts w:ascii="宋体" w:hAnsi="宋体"/>
          <w:sz w:val="24"/>
        </w:rPr>
        <w:t xml:space="preserve">2. </w:t>
      </w:r>
      <w:r>
        <w:rPr>
          <w:rFonts w:hint="eastAsia" w:ascii="宋体" w:hAnsi="宋体"/>
          <w:sz w:val="24"/>
        </w:rPr>
        <w:t>产品交货时成交单位应按照国家有关规定及标准提供全套技术资料（包括产品合格证、产品注册检验报告、附件清单、使用说明书、操作维护手册等）。</w:t>
      </w:r>
    </w:p>
    <w:p>
      <w:pPr>
        <w:spacing w:line="400" w:lineRule="exact"/>
        <w:rPr>
          <w:rFonts w:hint="eastAsia" w:ascii="宋体" w:hAnsi="宋体"/>
          <w:sz w:val="24"/>
        </w:rPr>
      </w:pPr>
      <w:r>
        <w:rPr>
          <w:rFonts w:hint="eastAsia" w:ascii="宋体" w:hAnsi="宋体"/>
          <w:sz w:val="24"/>
        </w:rPr>
        <w:t xml:space="preserve">3.进口产口需提供报关单或进口检疫报告，并附相关进出口委托协议书。  </w:t>
      </w:r>
    </w:p>
    <w:p>
      <w:pPr>
        <w:spacing w:line="400" w:lineRule="exact"/>
        <w:rPr>
          <w:rFonts w:ascii="宋体"/>
          <w:b/>
          <w:bCs/>
          <w:sz w:val="24"/>
        </w:rPr>
      </w:pPr>
      <w:r>
        <w:rPr>
          <w:rFonts w:hint="eastAsia" w:ascii="宋体" w:hAnsi="宋体"/>
          <w:b/>
          <w:bCs/>
          <w:sz w:val="24"/>
        </w:rPr>
        <w:t>五、验收</w:t>
      </w:r>
    </w:p>
    <w:p>
      <w:pPr>
        <w:spacing w:line="400" w:lineRule="exact"/>
        <w:rPr>
          <w:rFonts w:ascii="宋体"/>
          <w:sz w:val="24"/>
        </w:rPr>
      </w:pPr>
      <w:r>
        <w:rPr>
          <w:rFonts w:hint="eastAsia" w:ascii="宋体" w:hAnsi="宋体"/>
          <w:sz w:val="24"/>
        </w:rPr>
        <w:t>1</w:t>
      </w:r>
      <w:r>
        <w:rPr>
          <w:rFonts w:ascii="宋体" w:hAnsi="宋体"/>
          <w:sz w:val="24"/>
        </w:rPr>
        <w:t xml:space="preserve">. </w:t>
      </w:r>
      <w:r>
        <w:rPr>
          <w:rFonts w:hint="eastAsia" w:ascii="宋体" w:hAnsi="宋体"/>
          <w:sz w:val="24"/>
        </w:rPr>
        <w:t>货到目的地进行开箱验收，清点</w:t>
      </w:r>
      <w:r>
        <w:rPr>
          <w:rFonts w:hint="eastAsia" w:hAnsi="仿宋_GB2312" w:cs="仿宋_GB2312"/>
          <w:sz w:val="24"/>
        </w:rPr>
        <w:t>数量、质量或规格是否与合同相符</w:t>
      </w:r>
      <w:r>
        <w:rPr>
          <w:rFonts w:hint="eastAsia" w:ascii="宋体" w:hAnsi="宋体"/>
          <w:sz w:val="24"/>
        </w:rPr>
        <w:t>，验收完成后双方在送货单上面签名。</w:t>
      </w:r>
    </w:p>
    <w:p>
      <w:pPr>
        <w:spacing w:line="500" w:lineRule="exact"/>
        <w:rPr>
          <w:rFonts w:hint="eastAsia" w:hAnsi="仿宋_GB2312" w:cs="仿宋_GB2312"/>
          <w:sz w:val="24"/>
        </w:rPr>
      </w:pPr>
      <w:r>
        <w:rPr>
          <w:rFonts w:hint="eastAsia" w:ascii="宋体" w:hAnsi="宋体"/>
          <w:sz w:val="24"/>
        </w:rPr>
        <w:t>2</w:t>
      </w:r>
      <w:r>
        <w:rPr>
          <w:rFonts w:ascii="宋体" w:hAnsi="宋体"/>
          <w:sz w:val="24"/>
        </w:rPr>
        <w:t>.</w:t>
      </w:r>
      <w:r>
        <w:rPr>
          <w:rFonts w:hint="eastAsia" w:ascii="宋体" w:hAnsi="宋体"/>
          <w:sz w:val="24"/>
        </w:rPr>
        <w:t xml:space="preserve"> </w:t>
      </w:r>
      <w:r>
        <w:rPr>
          <w:rFonts w:hint="eastAsia" w:ascii="宋体" w:hAnsi="宋体"/>
          <w:sz w:val="24"/>
          <w:lang w:val="en-US" w:eastAsia="zh-CN"/>
        </w:rPr>
        <w:t>供应商应在送货完成后十五日内安排人员安装，安装运行</w:t>
      </w:r>
      <w:r>
        <w:rPr>
          <w:rFonts w:hint="eastAsia" w:ascii="宋体" w:hAnsi="宋体"/>
          <w:sz w:val="24"/>
        </w:rPr>
        <w:t>1个月内</w:t>
      </w:r>
      <w:r>
        <w:rPr>
          <w:rFonts w:hint="eastAsia" w:hAnsi="仿宋_GB2312" w:cs="仿宋_GB2312"/>
          <w:sz w:val="24"/>
        </w:rPr>
        <w:t>发现质量或规格与合同不相符或与样品不相符，或证实产品是有缺陷的，包括潜在的缺陷或使用不符合要求的材料等，供应商应在接到院方通知后</w:t>
      </w:r>
      <w:r>
        <w:rPr>
          <w:rFonts w:hint="eastAsia" w:hAnsi="仿宋_GB2312" w:cs="仿宋_GB2312"/>
          <w:b/>
          <w:bCs/>
          <w:sz w:val="24"/>
          <w:u w:val="single"/>
        </w:rPr>
        <w:t xml:space="preserve">  7  </w:t>
      </w:r>
      <w:r>
        <w:rPr>
          <w:rFonts w:hint="eastAsia" w:hAnsi="仿宋_GB2312" w:cs="仿宋_GB2312"/>
          <w:sz w:val="24"/>
        </w:rPr>
        <w:t>天内更换有缺陷的部分或修补缺陷部分，其费用由供应商承担。同时，供应商应按本合同规定，相应延长修补或更换件的质保期。（消耗材料及按照正常使用寿命到期的配件及人为损伤配件除外）</w:t>
      </w:r>
    </w:p>
    <w:p>
      <w:pPr>
        <w:spacing w:line="400" w:lineRule="exact"/>
        <w:rPr>
          <w:rFonts w:ascii="宋体"/>
          <w:b/>
          <w:bCs/>
          <w:sz w:val="24"/>
        </w:rPr>
      </w:pPr>
      <w:r>
        <w:rPr>
          <w:rFonts w:hint="eastAsia" w:ascii="宋体" w:hAnsi="宋体"/>
          <w:b/>
          <w:bCs/>
          <w:sz w:val="24"/>
        </w:rPr>
        <w:t>六、质量质保期</w:t>
      </w:r>
    </w:p>
    <w:p>
      <w:pPr>
        <w:spacing w:line="400" w:lineRule="exact"/>
        <w:ind w:firstLine="480" w:firstLineChars="200"/>
        <w:rPr>
          <w:rFonts w:hint="eastAsia" w:ascii="宋体" w:hAnsi="宋体"/>
          <w:sz w:val="24"/>
        </w:rPr>
      </w:pPr>
      <w:r>
        <w:rPr>
          <w:rFonts w:hint="eastAsia" w:ascii="宋体" w:hAnsi="宋体"/>
          <w:sz w:val="24"/>
        </w:rPr>
        <w:t>成交产品质量质保期自验收合格之日起开始计算，具体期限为成交人在《技术及售后服务承诺书》中承诺为准。在此期间，凡因成交人提供的材料等发生质量问题，成交人应免费进行更换并赔偿遴选人损失。</w:t>
      </w:r>
    </w:p>
    <w:p>
      <w:pPr>
        <w:spacing w:line="440" w:lineRule="exact"/>
        <w:outlineLvl w:val="0"/>
        <w:rPr>
          <w:rFonts w:hint="eastAsia" w:ascii="宋体" w:hAnsi="宋体" w:cs="宋体"/>
          <w:b/>
          <w:bCs/>
          <w:kern w:val="44"/>
          <w:sz w:val="36"/>
          <w:szCs w:val="36"/>
        </w:rPr>
      </w:pPr>
      <w:r>
        <w:rPr>
          <w:rFonts w:hint="eastAsia"/>
          <w:b/>
          <w:bCs/>
          <w:sz w:val="24"/>
          <w:szCs w:val="24"/>
          <w:lang w:val="en-US" w:eastAsia="zh-CN"/>
        </w:rPr>
        <w:t>七</w:t>
      </w:r>
      <w:r>
        <w:rPr>
          <w:rFonts w:hint="eastAsia"/>
          <w:lang w:val="en-US" w:eastAsia="zh-CN"/>
        </w:rPr>
        <w:t>、</w:t>
      </w:r>
      <w:r>
        <w:rPr>
          <w:rFonts w:hint="eastAsia" w:ascii="宋体" w:hAnsi="宋体" w:cs="宋体"/>
          <w:color w:val="FF0000"/>
          <w:sz w:val="24"/>
          <w:szCs w:val="24"/>
        </w:rPr>
        <w:t>遴选技术参数及配置要求</w:t>
      </w:r>
    </w:p>
    <w:bookmarkEnd w:id="0"/>
    <w:bookmarkEnd w:id="1"/>
    <w:p>
      <w:pPr>
        <w:numPr>
          <w:ilvl w:val="0"/>
          <w:numId w:val="1"/>
        </w:numPr>
        <w:rPr>
          <w:rFonts w:ascii="宋体" w:hAnsi="宋体" w:eastAsia="宋体" w:cs="宋体"/>
          <w:sz w:val="24"/>
          <w:szCs w:val="24"/>
        </w:rPr>
      </w:pPr>
      <w:r>
        <w:rPr>
          <w:rFonts w:ascii="宋体" w:hAnsi="宋体" w:eastAsia="宋体" w:cs="宋体"/>
          <w:sz w:val="24"/>
          <w:szCs w:val="24"/>
        </w:rPr>
        <w:t>技术清单：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071"/>
        <w:gridCol w:w="1383"/>
        <w:gridCol w:w="494"/>
        <w:gridCol w:w="1024"/>
        <w:gridCol w:w="441"/>
        <w:gridCol w:w="810"/>
        <w:gridCol w:w="2543"/>
      </w:tblGrid>
      <w:tr>
        <w:trPr>
          <w:jc w:val="center"/>
        </w:trPr>
        <w:tc>
          <w:tcPr>
            <w:tcW w:w="1827" w:type="dxa"/>
            <w:gridSpan w:val="2"/>
            <w:vAlign w:val="center"/>
          </w:tcPr>
          <w:p>
            <w:pPr>
              <w:pStyle w:val="2"/>
              <w:numPr>
                <w:ilvl w:val="0"/>
                <w:numId w:val="0"/>
              </w:numPr>
              <w:jc w:val="center"/>
              <w:rPr>
                <w:rFonts w:hint="eastAsia"/>
                <w:vertAlign w:val="baseline"/>
                <w:lang w:val="en-US" w:eastAsia="zh-CN"/>
              </w:rPr>
            </w:pPr>
            <w:r>
              <w:rPr>
                <w:rFonts w:hint="eastAsia" w:ascii="宋体" w:hAnsi="宋体"/>
                <w:b/>
                <w:bCs/>
                <w:color w:val="000000"/>
                <w:szCs w:val="21"/>
              </w:rPr>
              <w:t>用途及功能</w:t>
            </w:r>
          </w:p>
        </w:tc>
        <w:tc>
          <w:tcPr>
            <w:tcW w:w="3342" w:type="dxa"/>
            <w:gridSpan w:val="4"/>
            <w:vAlign w:val="center"/>
          </w:tcPr>
          <w:p>
            <w:pPr>
              <w:pStyle w:val="2"/>
              <w:numPr>
                <w:ilvl w:val="0"/>
                <w:numId w:val="0"/>
              </w:numPr>
              <w:jc w:val="center"/>
              <w:rPr>
                <w:rFonts w:hint="eastAsia"/>
                <w:vertAlign w:val="baseline"/>
                <w:lang w:val="en-US" w:eastAsia="zh-CN"/>
              </w:rPr>
            </w:pPr>
            <w:r>
              <w:rPr>
                <w:rFonts w:hint="eastAsia" w:ascii="仿宋_GB2312" w:hAnsi="宋体"/>
                <w:color w:val="000000"/>
              </w:rPr>
              <w:t>用于</w:t>
            </w:r>
            <w:r>
              <w:rPr>
                <w:rFonts w:hint="eastAsia" w:ascii="仿宋_GB2312" w:hAnsi="宋体"/>
                <w:color w:val="000000"/>
                <w:lang w:val="en-US" w:eastAsia="zh-CN"/>
              </w:rPr>
              <w:t>中心医院主机房不间断电源（VERTIV）</w:t>
            </w:r>
          </w:p>
        </w:tc>
        <w:tc>
          <w:tcPr>
            <w:tcW w:w="810" w:type="dxa"/>
            <w:vAlign w:val="center"/>
          </w:tcPr>
          <w:p>
            <w:pPr>
              <w:pStyle w:val="2"/>
              <w:numPr>
                <w:ilvl w:val="0"/>
                <w:numId w:val="0"/>
              </w:numPr>
              <w:jc w:val="center"/>
              <w:rPr>
                <w:rFonts w:hint="default" w:ascii="仿宋_GB2312" w:hAnsi="宋体" w:eastAsia="宋体"/>
                <w:color w:val="000000"/>
                <w:lang w:val="en-US" w:eastAsia="zh-CN"/>
              </w:rPr>
            </w:pPr>
            <w:r>
              <w:rPr>
                <w:rFonts w:hint="eastAsia" w:ascii="仿宋_GB2312" w:hAnsi="宋体"/>
                <w:color w:val="000000"/>
                <w:lang w:val="en-US" w:eastAsia="zh-CN"/>
              </w:rPr>
              <w:t>型号</w:t>
            </w:r>
          </w:p>
        </w:tc>
        <w:tc>
          <w:tcPr>
            <w:tcW w:w="2543" w:type="dxa"/>
            <w:vAlign w:val="center"/>
          </w:tcPr>
          <w:p>
            <w:pPr>
              <w:pStyle w:val="2"/>
              <w:numPr>
                <w:ilvl w:val="0"/>
                <w:numId w:val="0"/>
              </w:numPr>
              <w:jc w:val="center"/>
              <w:rPr>
                <w:rFonts w:hint="eastAsia" w:ascii="仿宋_GB2312" w:hAnsi="宋体"/>
                <w:color w:val="000000"/>
                <w:lang w:val="en-US" w:eastAsia="zh-CN"/>
              </w:rPr>
            </w:pPr>
            <w:r>
              <w:rPr>
                <w:rFonts w:hint="eastAsia" w:ascii="仿宋_GB2312" w:hAnsi="宋体"/>
                <w:color w:val="000000"/>
                <w:lang w:val="en-US" w:eastAsia="zh-CN"/>
              </w:rPr>
              <w:t>（UL33-1000L）</w:t>
            </w:r>
          </w:p>
        </w:tc>
      </w:tr>
      <w:tr>
        <w:trPr>
          <w:jc w:val="center"/>
        </w:trPr>
        <w:tc>
          <w:tcPr>
            <w:tcW w:w="756" w:type="dxa"/>
            <w:vAlign w:val="center"/>
          </w:tcPr>
          <w:p>
            <w:pPr>
              <w:pStyle w:val="2"/>
              <w:numPr>
                <w:ilvl w:val="0"/>
                <w:numId w:val="0"/>
              </w:numPr>
              <w:jc w:val="center"/>
              <w:rPr>
                <w:rFonts w:hint="eastAsia" w:eastAsia="宋体"/>
                <w:vertAlign w:val="baseline"/>
                <w:lang w:val="en-US" w:eastAsia="zh-CN"/>
              </w:rPr>
            </w:pPr>
            <w:r>
              <w:rPr>
                <w:rFonts w:hint="eastAsia"/>
                <w:vertAlign w:val="baseline"/>
                <w:lang w:val="en-US" w:eastAsia="zh-CN"/>
              </w:rPr>
              <w:t>序号</w:t>
            </w:r>
          </w:p>
        </w:tc>
        <w:tc>
          <w:tcPr>
            <w:tcW w:w="1071" w:type="dxa"/>
            <w:vAlign w:val="center"/>
          </w:tcPr>
          <w:p>
            <w:pPr>
              <w:pStyle w:val="2"/>
              <w:numPr>
                <w:ilvl w:val="0"/>
                <w:numId w:val="0"/>
              </w:numPr>
              <w:jc w:val="center"/>
              <w:rPr>
                <w:rFonts w:hint="eastAsia" w:eastAsia="宋体"/>
                <w:vertAlign w:val="baseline"/>
                <w:lang w:val="en-US" w:eastAsia="zh-CN"/>
              </w:rPr>
            </w:pPr>
            <w:r>
              <w:rPr>
                <w:rFonts w:hint="eastAsia"/>
                <w:vertAlign w:val="baseline"/>
                <w:lang w:val="en-US" w:eastAsia="zh-CN"/>
              </w:rPr>
              <w:t>项目</w:t>
            </w:r>
          </w:p>
        </w:tc>
        <w:tc>
          <w:tcPr>
            <w:tcW w:w="1383" w:type="dxa"/>
            <w:vAlign w:val="center"/>
          </w:tcPr>
          <w:p>
            <w:pPr>
              <w:pStyle w:val="2"/>
              <w:numPr>
                <w:ilvl w:val="0"/>
                <w:numId w:val="0"/>
              </w:numPr>
              <w:jc w:val="center"/>
              <w:rPr>
                <w:rFonts w:hint="default"/>
                <w:vertAlign w:val="baseline"/>
                <w:lang w:val="en-US" w:eastAsia="zh-CN"/>
              </w:rPr>
            </w:pPr>
            <w:r>
              <w:rPr>
                <w:rFonts w:hint="eastAsia"/>
                <w:vertAlign w:val="baseline"/>
                <w:lang w:val="en-US" w:eastAsia="zh-CN"/>
              </w:rPr>
              <w:t>规格型 号</w:t>
            </w:r>
          </w:p>
        </w:tc>
        <w:tc>
          <w:tcPr>
            <w:tcW w:w="494" w:type="dxa"/>
            <w:vAlign w:val="center"/>
          </w:tcPr>
          <w:p>
            <w:pPr>
              <w:pStyle w:val="2"/>
              <w:numPr>
                <w:ilvl w:val="0"/>
                <w:numId w:val="0"/>
              </w:numPr>
              <w:jc w:val="center"/>
              <w:rPr>
                <w:rFonts w:hint="eastAsia" w:eastAsia="宋体"/>
                <w:vertAlign w:val="baseline"/>
                <w:lang w:val="en-US" w:eastAsia="zh-CN"/>
              </w:rPr>
            </w:pPr>
            <w:r>
              <w:rPr>
                <w:rFonts w:hint="eastAsia"/>
                <w:vertAlign w:val="baseline"/>
                <w:lang w:val="en-US" w:eastAsia="zh-CN"/>
              </w:rPr>
              <w:t>单位</w:t>
            </w:r>
          </w:p>
        </w:tc>
        <w:tc>
          <w:tcPr>
            <w:tcW w:w="1024" w:type="dxa"/>
            <w:vAlign w:val="center"/>
          </w:tcPr>
          <w:p>
            <w:pPr>
              <w:pStyle w:val="2"/>
              <w:numPr>
                <w:ilvl w:val="0"/>
                <w:numId w:val="0"/>
              </w:numPr>
              <w:jc w:val="center"/>
              <w:rPr>
                <w:rFonts w:hint="eastAsia" w:eastAsia="宋体"/>
                <w:vertAlign w:val="baseline"/>
                <w:lang w:val="en-US" w:eastAsia="zh-CN"/>
              </w:rPr>
            </w:pPr>
            <w:r>
              <w:rPr>
                <w:rFonts w:hint="eastAsia"/>
                <w:vertAlign w:val="baseline"/>
                <w:lang w:val="en-US" w:eastAsia="zh-CN"/>
              </w:rPr>
              <w:t>数量（节）</w:t>
            </w:r>
          </w:p>
        </w:tc>
        <w:tc>
          <w:tcPr>
            <w:tcW w:w="3794" w:type="dxa"/>
            <w:gridSpan w:val="3"/>
            <w:vAlign w:val="center"/>
          </w:tcPr>
          <w:p>
            <w:pPr>
              <w:pStyle w:val="2"/>
              <w:numPr>
                <w:ilvl w:val="0"/>
                <w:numId w:val="0"/>
              </w:numPr>
              <w:jc w:val="center"/>
              <w:rPr>
                <w:rFonts w:hint="default" w:eastAsia="宋体"/>
                <w:vertAlign w:val="baseline"/>
                <w:lang w:val="en-US" w:eastAsia="zh-CN"/>
              </w:rPr>
            </w:pPr>
            <w:r>
              <w:rPr>
                <w:rFonts w:hint="eastAsia"/>
                <w:vertAlign w:val="baseline"/>
                <w:lang w:val="en-US" w:eastAsia="zh-CN"/>
              </w:rPr>
              <w:t>备注</w:t>
            </w:r>
          </w:p>
        </w:tc>
      </w:tr>
      <w:tr>
        <w:trPr>
          <w:jc w:val="center"/>
        </w:trPr>
        <w:tc>
          <w:tcPr>
            <w:tcW w:w="756" w:type="dxa"/>
            <w:vAlign w:val="center"/>
          </w:tcPr>
          <w:p>
            <w:pPr>
              <w:pStyle w:val="2"/>
              <w:numPr>
                <w:ilvl w:val="0"/>
                <w:numId w:val="0"/>
              </w:numPr>
              <w:jc w:val="center"/>
              <w:rPr>
                <w:rFonts w:hint="eastAsia"/>
                <w:vertAlign w:val="baseline"/>
                <w:lang w:val="en-US" w:eastAsia="zh-CN"/>
              </w:rPr>
            </w:pPr>
          </w:p>
          <w:p>
            <w:pPr>
              <w:pStyle w:val="2"/>
              <w:numPr>
                <w:ilvl w:val="0"/>
                <w:numId w:val="0"/>
              </w:numPr>
              <w:jc w:val="center"/>
              <w:rPr>
                <w:rFonts w:hint="eastAsia" w:eastAsia="宋体"/>
                <w:vertAlign w:val="baseline"/>
                <w:lang w:val="en-US" w:eastAsia="zh-CN"/>
              </w:rPr>
            </w:pPr>
            <w:r>
              <w:rPr>
                <w:rFonts w:hint="eastAsia"/>
                <w:vertAlign w:val="baseline"/>
                <w:lang w:val="en-US" w:eastAsia="zh-CN"/>
              </w:rPr>
              <w:t>1</w:t>
            </w:r>
          </w:p>
        </w:tc>
        <w:tc>
          <w:tcPr>
            <w:tcW w:w="1071" w:type="dxa"/>
            <w:vAlign w:val="center"/>
          </w:tcPr>
          <w:p>
            <w:pPr>
              <w:pStyle w:val="2"/>
              <w:numPr>
                <w:ilvl w:val="0"/>
                <w:numId w:val="0"/>
              </w:numPr>
              <w:jc w:val="center"/>
              <w:rPr>
                <w:rFonts w:ascii="宋体" w:hAnsi="宋体" w:eastAsia="宋体" w:cs="宋体"/>
                <w:sz w:val="24"/>
                <w:szCs w:val="24"/>
              </w:rPr>
            </w:pPr>
          </w:p>
          <w:p>
            <w:pPr>
              <w:pStyle w:val="2"/>
              <w:numPr>
                <w:ilvl w:val="0"/>
                <w:numId w:val="0"/>
              </w:numPr>
              <w:jc w:val="center"/>
              <w:rPr>
                <w:vertAlign w:val="baseline"/>
              </w:rPr>
            </w:pPr>
            <w:r>
              <w:rPr>
                <w:rFonts w:ascii="宋体" w:hAnsi="宋体" w:eastAsia="宋体" w:cs="宋体"/>
                <w:sz w:val="24"/>
                <w:szCs w:val="24"/>
              </w:rPr>
              <w:t>蓄电池</w:t>
            </w:r>
          </w:p>
        </w:tc>
        <w:tc>
          <w:tcPr>
            <w:tcW w:w="1383" w:type="dxa"/>
            <w:vAlign w:val="center"/>
          </w:tcPr>
          <w:p>
            <w:pPr>
              <w:pStyle w:val="2"/>
              <w:numPr>
                <w:ilvl w:val="0"/>
                <w:numId w:val="0"/>
              </w:numPr>
              <w:jc w:val="center"/>
              <w:rPr>
                <w:rFonts w:hint="eastAsia" w:hAnsi="仿宋_GB2312" w:cs="仿宋_GB2312"/>
                <w:color w:val="000000"/>
                <w:szCs w:val="21"/>
                <w:lang w:val="en-US" w:eastAsia="zh-CN"/>
              </w:rPr>
            </w:pPr>
          </w:p>
          <w:p>
            <w:pPr>
              <w:pStyle w:val="2"/>
              <w:numPr>
                <w:ilvl w:val="0"/>
                <w:numId w:val="0"/>
              </w:numPr>
              <w:jc w:val="center"/>
              <w:rPr>
                <w:rFonts w:ascii="宋体" w:hAnsi="宋体" w:eastAsia="宋体" w:cs="宋体"/>
                <w:sz w:val="24"/>
                <w:szCs w:val="24"/>
              </w:rPr>
            </w:pPr>
            <w:r>
              <w:rPr>
                <w:rFonts w:ascii="宋体" w:hAnsi="宋体" w:eastAsia="宋体" w:cs="宋体"/>
                <w:sz w:val="24"/>
                <w:szCs w:val="24"/>
              </w:rPr>
              <w:t>100AH</w:t>
            </w:r>
            <w:r>
              <w:rPr>
                <w:rFonts w:hint="eastAsia" w:ascii="宋体" w:hAnsi="宋体" w:cs="宋体"/>
                <w:sz w:val="24"/>
                <w:szCs w:val="24"/>
                <w:lang w:val="en-US" w:eastAsia="zh-CN"/>
              </w:rPr>
              <w:t>/</w:t>
            </w:r>
            <w:r>
              <w:rPr>
                <w:rFonts w:ascii="宋体" w:hAnsi="宋体" w:eastAsia="宋体" w:cs="宋体"/>
                <w:sz w:val="24"/>
                <w:szCs w:val="24"/>
              </w:rPr>
              <w:t>12V</w:t>
            </w:r>
          </w:p>
        </w:tc>
        <w:tc>
          <w:tcPr>
            <w:tcW w:w="494" w:type="dxa"/>
            <w:vAlign w:val="center"/>
          </w:tcPr>
          <w:p>
            <w:pPr>
              <w:pStyle w:val="2"/>
              <w:numPr>
                <w:ilvl w:val="0"/>
                <w:numId w:val="0"/>
              </w:numPr>
              <w:jc w:val="center"/>
              <w:rPr>
                <w:rFonts w:hint="eastAsia"/>
                <w:vertAlign w:val="baseline"/>
                <w:lang w:val="en-US" w:eastAsia="zh-CN"/>
              </w:rPr>
            </w:pPr>
          </w:p>
          <w:p>
            <w:pPr>
              <w:pStyle w:val="2"/>
              <w:numPr>
                <w:ilvl w:val="0"/>
                <w:numId w:val="0"/>
              </w:numPr>
              <w:jc w:val="center"/>
              <w:rPr>
                <w:rFonts w:hint="eastAsia" w:eastAsia="宋体"/>
                <w:vertAlign w:val="baseline"/>
                <w:lang w:val="en-US" w:eastAsia="zh-CN"/>
              </w:rPr>
            </w:pPr>
            <w:r>
              <w:rPr>
                <w:rFonts w:hint="eastAsia"/>
                <w:vertAlign w:val="baseline"/>
                <w:lang w:val="en-US" w:eastAsia="zh-CN"/>
              </w:rPr>
              <w:t>节</w:t>
            </w:r>
          </w:p>
        </w:tc>
        <w:tc>
          <w:tcPr>
            <w:tcW w:w="1024" w:type="dxa"/>
            <w:vAlign w:val="center"/>
          </w:tcPr>
          <w:p>
            <w:pPr>
              <w:pStyle w:val="2"/>
              <w:numPr>
                <w:ilvl w:val="0"/>
                <w:numId w:val="0"/>
              </w:numPr>
              <w:jc w:val="center"/>
              <w:rPr>
                <w:rFonts w:hint="eastAsia"/>
                <w:vertAlign w:val="baseline"/>
                <w:lang w:val="en-US" w:eastAsia="zh-CN"/>
              </w:rPr>
            </w:pPr>
          </w:p>
          <w:p>
            <w:pPr>
              <w:pStyle w:val="2"/>
              <w:numPr>
                <w:ilvl w:val="0"/>
                <w:numId w:val="0"/>
              </w:numPr>
              <w:jc w:val="center"/>
              <w:rPr>
                <w:rFonts w:hint="default" w:eastAsia="宋体"/>
                <w:vertAlign w:val="baseline"/>
                <w:lang w:val="en-US" w:eastAsia="zh-CN"/>
              </w:rPr>
            </w:pPr>
            <w:r>
              <w:rPr>
                <w:rFonts w:hint="eastAsia"/>
                <w:vertAlign w:val="baseline"/>
                <w:lang w:val="en-US" w:eastAsia="zh-CN"/>
              </w:rPr>
              <w:t>76</w:t>
            </w:r>
          </w:p>
        </w:tc>
        <w:tc>
          <w:tcPr>
            <w:tcW w:w="3794" w:type="dxa"/>
            <w:gridSpan w:val="3"/>
            <w:vAlign w:val="center"/>
          </w:tcPr>
          <w:p>
            <w:pPr>
              <w:pStyle w:val="2"/>
              <w:numPr>
                <w:ilvl w:val="0"/>
                <w:numId w:val="0"/>
              </w:numPr>
              <w:jc w:val="left"/>
              <w:rPr>
                <w:rFonts w:hint="default"/>
                <w:vertAlign w:val="baseline"/>
                <w:lang w:val="en-US"/>
              </w:rPr>
            </w:pPr>
            <w:r>
              <w:rPr>
                <w:rFonts w:ascii="宋体" w:hAnsi="宋体" w:eastAsia="宋体" w:cs="宋体"/>
                <w:sz w:val="24"/>
                <w:szCs w:val="24"/>
              </w:rPr>
              <w:t>100AH</w:t>
            </w:r>
            <w:r>
              <w:rPr>
                <w:rFonts w:hint="eastAsia" w:ascii="宋体" w:hAnsi="宋体" w:cs="宋体"/>
                <w:sz w:val="24"/>
                <w:szCs w:val="24"/>
                <w:lang w:val="en-US" w:eastAsia="zh-CN"/>
              </w:rPr>
              <w:t>/</w:t>
            </w:r>
            <w:r>
              <w:rPr>
                <w:rFonts w:ascii="宋体" w:hAnsi="宋体" w:eastAsia="宋体" w:cs="宋体"/>
                <w:sz w:val="24"/>
                <w:szCs w:val="24"/>
              </w:rPr>
              <w:t>12V 蓄电池更换，包括但不限于新电池运输搬运、旧电池拆卸、安装新 电池并调试、电池间连接电缆、旧电缆更换等安装辅材等交钥匙工程</w:t>
            </w:r>
            <w:r>
              <w:rPr>
                <w:rFonts w:hint="eastAsia" w:ascii="宋体" w:hAnsi="宋体" w:cs="宋体"/>
                <w:sz w:val="24"/>
                <w:szCs w:val="24"/>
                <w:lang w:eastAsia="zh-CN"/>
              </w:rPr>
              <w:t>，</w:t>
            </w:r>
            <w:r>
              <w:rPr>
                <w:rFonts w:hint="eastAsia" w:hAnsi="仿宋_GB2312" w:eastAsia="宋体" w:cs="仿宋_GB2312"/>
                <w:color w:val="000000"/>
                <w:szCs w:val="21"/>
                <w:lang w:val="en-US" w:eastAsia="zh-CN"/>
              </w:rPr>
              <w:t>每年4次巡检（包含电池充放电测试）</w:t>
            </w:r>
            <w:r>
              <w:rPr>
                <w:rFonts w:hint="eastAsia" w:hAnsi="仿宋_GB2312" w:cs="仿宋_GB2312"/>
                <w:color w:val="000000"/>
                <w:szCs w:val="21"/>
                <w:lang w:val="en-US" w:eastAsia="zh-CN"/>
              </w:rPr>
              <w:t>共三年</w:t>
            </w:r>
          </w:p>
        </w:tc>
      </w:tr>
      <w:tr>
        <w:trPr>
          <w:jc w:val="center"/>
        </w:trPr>
        <w:tc>
          <w:tcPr>
            <w:tcW w:w="1827" w:type="dxa"/>
            <w:gridSpan w:val="2"/>
            <w:vAlign w:val="center"/>
          </w:tcPr>
          <w:p>
            <w:pPr>
              <w:pStyle w:val="2"/>
              <w:numPr>
                <w:ilvl w:val="0"/>
                <w:numId w:val="0"/>
              </w:numPr>
              <w:jc w:val="center"/>
              <w:rPr>
                <w:rFonts w:ascii="宋体" w:hAnsi="宋体" w:eastAsia="宋体" w:cs="宋体"/>
                <w:sz w:val="24"/>
                <w:szCs w:val="24"/>
              </w:rPr>
            </w:pPr>
            <w:r>
              <w:rPr>
                <w:rFonts w:hint="eastAsia" w:hAnsi="仿宋_GB2312" w:cs="仿宋_GB2312"/>
                <w:color w:val="000000"/>
                <w:kern w:val="0"/>
                <w:szCs w:val="21"/>
                <w:lang w:val="en-US" w:eastAsia="zh-CN" w:bidi="ar"/>
              </w:rPr>
              <w:t>最高限价总计（元）</w:t>
            </w:r>
          </w:p>
        </w:tc>
        <w:tc>
          <w:tcPr>
            <w:tcW w:w="6695" w:type="dxa"/>
            <w:gridSpan w:val="6"/>
            <w:vAlign w:val="center"/>
          </w:tcPr>
          <w:p>
            <w:pPr>
              <w:pStyle w:val="2"/>
              <w:numPr>
                <w:ilvl w:val="0"/>
                <w:numId w:val="0"/>
              </w:numPr>
              <w:jc w:val="center"/>
              <w:rPr>
                <w:rFonts w:ascii="宋体" w:hAnsi="宋体" w:eastAsia="宋体" w:cs="宋体"/>
                <w:sz w:val="24"/>
                <w:szCs w:val="24"/>
              </w:rPr>
            </w:pPr>
            <w:r>
              <w:rPr>
                <w:rFonts w:hint="eastAsia" w:ascii="宋体" w:hAnsi="宋体" w:cs="宋体"/>
                <w:kern w:val="0"/>
                <w:sz w:val="22"/>
                <w:szCs w:val="22"/>
                <w:lang w:val="en-US" w:eastAsia="zh-CN"/>
              </w:rPr>
              <w:t>85120</w:t>
            </w:r>
          </w:p>
        </w:tc>
      </w:tr>
    </w:tbl>
    <w:p>
      <w:pPr>
        <w:pStyle w:val="2"/>
        <w:numPr>
          <w:ilvl w:val="0"/>
          <w:numId w:val="0"/>
        </w:numPr>
      </w:pPr>
    </w:p>
    <w:p>
      <w:pPr>
        <w:pStyle w:val="2"/>
        <w:numPr>
          <w:ilvl w:val="0"/>
          <w:numId w:val="1"/>
        </w:numPr>
        <w:ind w:left="0" w:leftChars="0" w:firstLine="0" w:firstLineChars="0"/>
        <w:rPr>
          <w:rFonts w:ascii="宋体" w:hAnsi="宋体" w:eastAsia="宋体" w:cs="宋体"/>
          <w:sz w:val="24"/>
          <w:szCs w:val="24"/>
        </w:rPr>
      </w:pPr>
      <w:r>
        <w:rPr>
          <w:sz w:val="24"/>
        </w:rPr>
        <w:t>▲</w:t>
      </w:r>
      <w:r>
        <w:rPr>
          <w:rFonts w:ascii="宋体" w:hAnsi="宋体" w:eastAsia="宋体" w:cs="宋体"/>
          <w:sz w:val="24"/>
          <w:szCs w:val="24"/>
        </w:rPr>
        <w:t>为保证能放入现电池柜，UPS蓄电池尺寸不得超过(长×宽×高：单位mm)330× 173×216。</w:t>
      </w:r>
    </w:p>
    <w:p>
      <w:pPr>
        <w:pStyle w:val="2"/>
        <w:numPr>
          <w:ilvl w:val="0"/>
          <w:numId w:val="1"/>
        </w:numPr>
        <w:ind w:left="0" w:leftChars="0" w:firstLine="0" w:firstLineChars="0"/>
        <w:rPr>
          <w:rFonts w:ascii="宋体" w:hAnsi="宋体" w:eastAsia="宋体" w:cs="宋体"/>
          <w:sz w:val="24"/>
          <w:szCs w:val="24"/>
        </w:rPr>
      </w:pPr>
      <w:r>
        <w:rPr>
          <w:sz w:val="24"/>
        </w:rPr>
        <w:t>▲电池保用3年以上。</w:t>
      </w:r>
    </w:p>
    <w:p>
      <w:pPr>
        <w:numPr>
          <w:ilvl w:val="0"/>
          <w:numId w:val="0"/>
        </w:numPr>
        <w:ind w:leftChars="0"/>
        <w:jc w:val="both"/>
      </w:pPr>
      <w:r>
        <w:rPr>
          <w:rFonts w:hint="eastAsia"/>
          <w:sz w:val="24"/>
          <w:lang w:val="en-US" w:eastAsia="zh-CN"/>
        </w:rPr>
        <w:t>4</w:t>
      </w:r>
      <w:r>
        <w:rPr>
          <w:sz w:val="24"/>
        </w:rPr>
        <w:t>.▲蓄电池内极群焊接采用跨桥式焊接，不接受穿壁焊，并提供工艺证明。</w:t>
      </w:r>
    </w:p>
    <w:p>
      <w:pPr>
        <w:jc w:val="both"/>
      </w:pPr>
      <w:r>
        <w:rPr>
          <w:rFonts w:hint="eastAsia"/>
          <w:sz w:val="24"/>
          <w:lang w:val="en-US" w:eastAsia="zh-CN"/>
        </w:rPr>
        <w:t>5</w:t>
      </w:r>
      <w:r>
        <w:rPr>
          <w:sz w:val="24"/>
        </w:rPr>
        <w:t>.▲电池极群中隔板是采用M型叠板工艺，并提供证明。</w:t>
      </w:r>
    </w:p>
    <w:p>
      <w:pPr>
        <w:jc w:val="both"/>
      </w:pPr>
      <w:r>
        <w:rPr>
          <w:rFonts w:hint="eastAsia"/>
          <w:sz w:val="24"/>
          <w:lang w:val="en-US" w:eastAsia="zh-CN"/>
        </w:rPr>
        <w:t>6</w:t>
      </w:r>
      <w:r>
        <w:rPr>
          <w:sz w:val="24"/>
        </w:rPr>
        <w:t>.▲蓄电池在环境25℃浮充设计寿命不低于6年，并提供加速浮充寿命测试报告。</w:t>
      </w:r>
    </w:p>
    <w:p>
      <w:pPr>
        <w:jc w:val="both"/>
      </w:pPr>
      <w:r>
        <w:rPr>
          <w:rFonts w:hint="eastAsia"/>
          <w:sz w:val="24"/>
          <w:lang w:val="en-US" w:eastAsia="zh-CN"/>
        </w:rPr>
        <w:t>7</w:t>
      </w:r>
      <w:r>
        <w:rPr>
          <w:sz w:val="24"/>
        </w:rPr>
        <w:t>.▲蓄电池防伪技术与产品真伪鉴别，蓄电池（每个本体上）附带防伪标识或防伪标签。</w:t>
      </w:r>
    </w:p>
    <w:p>
      <w:pPr>
        <w:jc w:val="both"/>
      </w:pPr>
      <w:r>
        <w:rPr>
          <w:rFonts w:hint="eastAsia"/>
          <w:sz w:val="24"/>
          <w:lang w:val="en-US" w:eastAsia="zh-CN"/>
        </w:rPr>
        <w:t>8</w:t>
      </w:r>
      <w:r>
        <w:rPr>
          <w:sz w:val="24"/>
        </w:rPr>
        <w:t>.▲电池5年内容量衰减不低于额定容量的60%，提供承诺函，格式自拟。</w:t>
      </w:r>
    </w:p>
    <w:p>
      <w:pPr>
        <w:jc w:val="both"/>
      </w:pPr>
      <w:r>
        <w:rPr>
          <w:rFonts w:hint="eastAsia"/>
          <w:sz w:val="24"/>
          <w:lang w:val="en-US" w:eastAsia="zh-CN"/>
        </w:rPr>
        <w:t>9</w:t>
      </w:r>
      <w:r>
        <w:rPr>
          <w:sz w:val="24"/>
        </w:rPr>
        <w:t xml:space="preserve">.▲蓄电池应有防漏液设计（端子部位密封采用极柱与壳体间铅合金一体焊接技术），并提供相关证明。            </w:t>
      </w:r>
    </w:p>
    <w:p>
      <w:pPr>
        <w:jc w:val="both"/>
      </w:pPr>
      <w:r>
        <w:rPr>
          <w:sz w:val="24"/>
        </w:rPr>
        <w:t>1</w:t>
      </w:r>
      <w:r>
        <w:rPr>
          <w:rFonts w:hint="eastAsia"/>
          <w:sz w:val="24"/>
          <w:lang w:val="en-US" w:eastAsia="zh-CN"/>
        </w:rPr>
        <w:t>0</w:t>
      </w:r>
      <w:r>
        <w:rPr>
          <w:sz w:val="24"/>
        </w:rPr>
        <w:t>.▲蓄电池静置28天容量保存率≥100%。</w:t>
      </w:r>
    </w:p>
    <w:p>
      <w:pPr>
        <w:jc w:val="both"/>
      </w:pPr>
      <w:r>
        <w:rPr>
          <w:sz w:val="24"/>
        </w:rPr>
        <w:t>1</w:t>
      </w:r>
      <w:r>
        <w:rPr>
          <w:rFonts w:hint="eastAsia"/>
          <w:sz w:val="24"/>
          <w:lang w:val="en-US" w:eastAsia="zh-CN"/>
        </w:rPr>
        <w:t>1</w:t>
      </w:r>
      <w:r>
        <w:rPr>
          <w:sz w:val="24"/>
        </w:rPr>
        <w:t>.▲容量一致性，同组蓄电池10h率容量试验时，最大容量与最小容量差值≤1.7%。</w:t>
      </w:r>
    </w:p>
    <w:p>
      <w:pPr>
        <w:jc w:val="both"/>
      </w:pPr>
      <w:r>
        <w:rPr>
          <w:sz w:val="24"/>
        </w:rPr>
        <w:t>1</w:t>
      </w:r>
      <w:r>
        <w:rPr>
          <w:rFonts w:hint="eastAsia"/>
          <w:sz w:val="24"/>
          <w:lang w:val="en-US" w:eastAsia="zh-CN"/>
        </w:rPr>
        <w:t>2</w:t>
      </w:r>
      <w:r>
        <w:rPr>
          <w:sz w:val="24"/>
        </w:rPr>
        <w:t>.▲蓄电池密封反应效率≥99.4%。</w:t>
      </w:r>
    </w:p>
    <w:p>
      <w:pPr>
        <w:jc w:val="both"/>
      </w:pPr>
      <w:r>
        <w:rPr>
          <w:sz w:val="24"/>
        </w:rPr>
        <w:t>1</w:t>
      </w:r>
      <w:r>
        <w:rPr>
          <w:rFonts w:hint="eastAsia"/>
          <w:sz w:val="24"/>
          <w:lang w:val="en-US" w:eastAsia="zh-CN"/>
        </w:rPr>
        <w:t>3</w:t>
      </w:r>
      <w:r>
        <w:rPr>
          <w:sz w:val="24"/>
        </w:rPr>
        <w:t>.▲阻燃性能：蓄电池壳、盖、连接条保护罩应符合GB/T2408-2008中第8.3.2条FH-H（水平级）和第9.3.2条FV-0(垂直级）的要求。</w:t>
      </w:r>
    </w:p>
    <w:p>
      <w:pPr>
        <w:jc w:val="both"/>
      </w:pPr>
      <w:r>
        <w:rPr>
          <w:b/>
          <w:sz w:val="24"/>
        </w:rPr>
        <w:t>注：以上1</w:t>
      </w:r>
      <w:r>
        <w:rPr>
          <w:rFonts w:hint="eastAsia"/>
          <w:b/>
          <w:sz w:val="24"/>
          <w:lang w:val="en-US" w:eastAsia="zh-CN"/>
        </w:rPr>
        <w:t>0</w:t>
      </w:r>
      <w:r>
        <w:rPr>
          <w:b/>
          <w:sz w:val="24"/>
        </w:rPr>
        <w:t>-1</w:t>
      </w:r>
      <w:r>
        <w:rPr>
          <w:rFonts w:hint="eastAsia"/>
          <w:b/>
          <w:sz w:val="24"/>
          <w:lang w:val="en-US" w:eastAsia="zh-CN"/>
        </w:rPr>
        <w:t>3</w:t>
      </w:r>
      <w:r>
        <w:rPr>
          <w:b/>
          <w:sz w:val="24"/>
        </w:rPr>
        <w:t>点要求提供3年内同系列型号泰尔、CMA或其他法定机构的检测报告复印件。</w:t>
      </w:r>
    </w:p>
    <w:p>
      <w:pPr>
        <w:jc w:val="both"/>
      </w:pPr>
      <w:r>
        <w:rPr>
          <w:sz w:val="24"/>
        </w:rPr>
        <w:t>1</w:t>
      </w:r>
      <w:r>
        <w:rPr>
          <w:rFonts w:hint="eastAsia"/>
          <w:sz w:val="24"/>
          <w:lang w:val="en-US" w:eastAsia="zh-CN"/>
        </w:rPr>
        <w:t>4</w:t>
      </w:r>
      <w:r>
        <w:rPr>
          <w:sz w:val="24"/>
        </w:rPr>
        <w:t>.▲投标电池产品应通过泰尔抗震7、8、9烈度检测，提供工信部抗震检测合格证及检测报告。</w:t>
      </w:r>
    </w:p>
    <w:p>
      <w:pPr>
        <w:jc w:val="both"/>
      </w:pPr>
      <w:r>
        <w:rPr>
          <w:sz w:val="24"/>
        </w:rPr>
        <w:t>1</w:t>
      </w:r>
      <w:r>
        <w:rPr>
          <w:rFonts w:hint="eastAsia"/>
          <w:sz w:val="24"/>
          <w:lang w:val="en-US" w:eastAsia="zh-CN"/>
        </w:rPr>
        <w:t>5</w:t>
      </w:r>
      <w:r>
        <w:rPr>
          <w:sz w:val="24"/>
        </w:rPr>
        <w:t>.大电流放电极柱、内部汇流排未熔断，外观无异常。</w:t>
      </w:r>
    </w:p>
    <w:p>
      <w:pPr>
        <w:jc w:val="both"/>
      </w:pPr>
      <w:r>
        <w:rPr>
          <w:sz w:val="24"/>
        </w:rPr>
        <w:t>1</w:t>
      </w:r>
      <w:r>
        <w:rPr>
          <w:rFonts w:hint="eastAsia"/>
          <w:sz w:val="24"/>
          <w:lang w:val="en-US" w:eastAsia="zh-CN"/>
        </w:rPr>
        <w:t>6</w:t>
      </w:r>
      <w:r>
        <w:rPr>
          <w:sz w:val="24"/>
        </w:rPr>
        <w:t>.过度放电后，容量恢复值应大于90%。</w:t>
      </w:r>
    </w:p>
    <w:p>
      <w:pPr>
        <w:jc w:val="both"/>
      </w:pPr>
      <w:r>
        <w:rPr>
          <w:sz w:val="24"/>
        </w:rPr>
        <w:t>1</w:t>
      </w:r>
      <w:r>
        <w:rPr>
          <w:rFonts w:hint="eastAsia"/>
          <w:sz w:val="24"/>
          <w:lang w:val="en-US" w:eastAsia="zh-CN"/>
        </w:rPr>
        <w:t>7</w:t>
      </w:r>
      <w:r>
        <w:rPr>
          <w:sz w:val="24"/>
        </w:rPr>
        <w:t>.所投蓄电池提供泰尔检验报告并检测合格，提供证书复印件。</w:t>
      </w:r>
    </w:p>
    <w:p>
      <w:pPr>
        <w:jc w:val="both"/>
      </w:pPr>
      <w:r>
        <w:rPr>
          <w:sz w:val="24"/>
        </w:rPr>
        <w:t>1</w:t>
      </w:r>
      <w:r>
        <w:rPr>
          <w:rFonts w:hint="eastAsia"/>
          <w:sz w:val="24"/>
          <w:lang w:val="en-US" w:eastAsia="zh-CN"/>
        </w:rPr>
        <w:t>8</w:t>
      </w:r>
      <w:r>
        <w:rPr>
          <w:sz w:val="24"/>
        </w:rPr>
        <w:t>.封口无裂纹与溢流现象。</w:t>
      </w:r>
    </w:p>
    <w:p>
      <w:pPr>
        <w:jc w:val="both"/>
      </w:pPr>
      <w:r>
        <w:rPr>
          <w:rFonts w:hint="eastAsia"/>
          <w:sz w:val="24"/>
          <w:lang w:val="en-US" w:eastAsia="zh-CN"/>
        </w:rPr>
        <w:t>19</w:t>
      </w:r>
      <w:r>
        <w:rPr>
          <w:sz w:val="24"/>
        </w:rPr>
        <w:t>.蓄电池遇到大电流时不融化、不变形，电池端子的厚度不小于8mm。</w:t>
      </w:r>
    </w:p>
    <w:p>
      <w:pPr>
        <w:jc w:val="both"/>
      </w:pPr>
      <w:r>
        <w:rPr>
          <w:sz w:val="24"/>
        </w:rPr>
        <w:t>2</w:t>
      </w:r>
      <w:r>
        <w:rPr>
          <w:rFonts w:hint="eastAsia"/>
          <w:sz w:val="24"/>
          <w:lang w:val="en-US" w:eastAsia="zh-CN"/>
        </w:rPr>
        <w:t>0</w:t>
      </w:r>
      <w:r>
        <w:rPr>
          <w:sz w:val="24"/>
        </w:rPr>
        <w:t>.电池槽和电池盖密封采用胶封，不接受热封。</w:t>
      </w:r>
    </w:p>
    <w:p>
      <w:pPr>
        <w:jc w:val="both"/>
      </w:pPr>
      <w:r>
        <w:rPr>
          <w:sz w:val="24"/>
        </w:rPr>
        <w:t>2</w:t>
      </w:r>
      <w:r>
        <w:rPr>
          <w:rFonts w:hint="eastAsia"/>
          <w:sz w:val="24"/>
          <w:lang w:val="en-US" w:eastAsia="zh-CN"/>
        </w:rPr>
        <w:t>1</w:t>
      </w:r>
      <w:r>
        <w:rPr>
          <w:sz w:val="24"/>
        </w:rPr>
        <w:t xml:space="preserve">.蓄电池室内温度在+5℃～+40℃时仍能满足UPS满负荷供电要求。         </w:t>
      </w:r>
    </w:p>
    <w:p>
      <w:pPr>
        <w:jc w:val="both"/>
      </w:pPr>
      <w:r>
        <w:rPr>
          <w:sz w:val="24"/>
        </w:rPr>
        <w:t>2</w:t>
      </w:r>
      <w:r>
        <w:rPr>
          <w:rFonts w:hint="eastAsia"/>
          <w:sz w:val="24"/>
          <w:lang w:val="en-US" w:eastAsia="zh-CN"/>
        </w:rPr>
        <w:t>2</w:t>
      </w:r>
      <w:r>
        <w:rPr>
          <w:sz w:val="24"/>
        </w:rPr>
        <w:t>.蓄电池间接线板、终端接头应选用导电性能优良的材料，并具有防腐蚀措施；蓄电池组间互连接线应绝缘。</w:t>
      </w:r>
    </w:p>
    <w:p>
      <w:pPr>
        <w:jc w:val="both"/>
      </w:pPr>
      <w:r>
        <w:rPr>
          <w:sz w:val="24"/>
        </w:rPr>
        <w:t>2</w:t>
      </w:r>
      <w:r>
        <w:rPr>
          <w:rFonts w:hint="eastAsia"/>
          <w:sz w:val="24"/>
          <w:lang w:val="en-US" w:eastAsia="zh-CN"/>
        </w:rPr>
        <w:t>3</w:t>
      </w:r>
      <w:r>
        <w:rPr>
          <w:sz w:val="24"/>
        </w:rPr>
        <w:t xml:space="preserve">.蓄电池的维护要简便，当温度在+15℃～+25℃时无须根据环境温度而调整浮充电压进行温度补偿。    </w:t>
      </w:r>
    </w:p>
    <w:p>
      <w:pPr>
        <w:jc w:val="both"/>
      </w:pPr>
      <w:r>
        <w:rPr>
          <w:sz w:val="24"/>
        </w:rPr>
        <w:t>2</w:t>
      </w:r>
      <w:r>
        <w:rPr>
          <w:rFonts w:hint="eastAsia"/>
          <w:sz w:val="24"/>
          <w:lang w:val="en-US" w:eastAsia="zh-CN"/>
        </w:rPr>
        <w:t>4</w:t>
      </w:r>
      <w:r>
        <w:rPr>
          <w:sz w:val="24"/>
        </w:rPr>
        <w:t>.完全充电后的电池以0.3I10连续充电160h,外观无明显变形及渗液。</w:t>
      </w:r>
    </w:p>
    <w:p>
      <w:pPr>
        <w:jc w:val="both"/>
      </w:pPr>
      <w:r>
        <w:rPr>
          <w:sz w:val="24"/>
        </w:rPr>
        <w:t>2</w:t>
      </w:r>
      <w:r>
        <w:rPr>
          <w:rFonts w:hint="eastAsia"/>
          <w:sz w:val="24"/>
          <w:lang w:val="en-US" w:eastAsia="zh-CN"/>
        </w:rPr>
        <w:t>5</w:t>
      </w:r>
      <w:r>
        <w:rPr>
          <w:sz w:val="24"/>
        </w:rPr>
        <w:t>.电池内部无游离酸，气体复合效率高，使用安全性高。</w:t>
      </w:r>
    </w:p>
    <w:p>
      <w:pPr>
        <w:jc w:val="both"/>
      </w:pPr>
      <w:r>
        <w:rPr>
          <w:sz w:val="24"/>
        </w:rPr>
        <w:t>2</w:t>
      </w:r>
      <w:r>
        <w:rPr>
          <w:rFonts w:hint="eastAsia"/>
          <w:sz w:val="24"/>
          <w:lang w:val="en-US" w:eastAsia="zh-CN"/>
        </w:rPr>
        <w:t>6</w:t>
      </w:r>
      <w:r>
        <w:rPr>
          <w:sz w:val="24"/>
        </w:rPr>
        <w:t>.再充电能力大于90%。</w:t>
      </w:r>
    </w:p>
    <w:p>
      <w:pPr>
        <w:jc w:val="both"/>
      </w:pPr>
      <w:r>
        <w:rPr>
          <w:sz w:val="24"/>
        </w:rPr>
        <w:t>2</w:t>
      </w:r>
      <w:r>
        <w:rPr>
          <w:rFonts w:hint="eastAsia"/>
          <w:sz w:val="24"/>
          <w:lang w:val="en-US" w:eastAsia="zh-CN"/>
        </w:rPr>
        <w:t>7</w:t>
      </w:r>
      <w:r>
        <w:rPr>
          <w:sz w:val="24"/>
        </w:rPr>
        <w:t xml:space="preserve">.同组蓄电池内阻偏差≤5%。          </w:t>
      </w:r>
    </w:p>
    <w:p>
      <w:pPr>
        <w:jc w:val="both"/>
      </w:pPr>
      <w:r>
        <w:rPr>
          <w:sz w:val="24"/>
        </w:rPr>
        <w:t>2</w:t>
      </w:r>
      <w:r>
        <w:rPr>
          <w:rFonts w:hint="eastAsia"/>
          <w:sz w:val="24"/>
          <w:lang w:val="en-US" w:eastAsia="zh-CN"/>
        </w:rPr>
        <w:t>8</w:t>
      </w:r>
      <w:r>
        <w:rPr>
          <w:sz w:val="24"/>
        </w:rPr>
        <w:t>.通过安全阀向蓄电池充气在内外压差为50Kpa时并持续不少于5s时，能够不破裂、不开胶、压力释放后壳体无残余变形。</w:t>
      </w:r>
    </w:p>
    <w:p>
      <w:pPr>
        <w:jc w:val="both"/>
      </w:pPr>
      <w:r>
        <w:rPr>
          <w:rFonts w:hint="eastAsia"/>
          <w:sz w:val="24"/>
          <w:lang w:val="en-US" w:eastAsia="zh-CN"/>
        </w:rPr>
        <w:t>29</w:t>
      </w:r>
      <w:r>
        <w:rPr>
          <w:sz w:val="24"/>
        </w:rPr>
        <w:t xml:space="preserve">.防酸雾性能PH值应呈中性。    </w:t>
      </w:r>
    </w:p>
    <w:p>
      <w:pPr>
        <w:jc w:val="both"/>
      </w:pPr>
      <w:r>
        <w:rPr>
          <w:sz w:val="24"/>
        </w:rPr>
        <w:t>3</w:t>
      </w:r>
      <w:r>
        <w:rPr>
          <w:rFonts w:hint="eastAsia"/>
          <w:sz w:val="24"/>
          <w:lang w:val="en-US" w:eastAsia="zh-CN"/>
        </w:rPr>
        <w:t>0</w:t>
      </w:r>
      <w:r>
        <w:rPr>
          <w:sz w:val="24"/>
        </w:rPr>
        <w:t>.端电压的均衡性符合相关要求。</w:t>
      </w:r>
    </w:p>
    <w:p>
      <w:pPr>
        <w:jc w:val="both"/>
      </w:pPr>
      <w:r>
        <w:rPr>
          <w:sz w:val="24"/>
        </w:rPr>
        <w:t>3</w:t>
      </w:r>
      <w:r>
        <w:rPr>
          <w:rFonts w:hint="eastAsia"/>
          <w:sz w:val="24"/>
          <w:lang w:val="en-US" w:eastAsia="zh-CN"/>
        </w:rPr>
        <w:t>1</w:t>
      </w:r>
      <w:r>
        <w:rPr>
          <w:sz w:val="24"/>
        </w:rPr>
        <w:t xml:space="preserve">.蓄电池中完全无多余电解液，可倒放90度使用，不会出现漏液情况。               </w:t>
      </w:r>
    </w:p>
    <w:p>
      <w:pPr>
        <w:jc w:val="both"/>
      </w:pPr>
      <w:r>
        <w:rPr>
          <w:sz w:val="24"/>
        </w:rPr>
        <w:t>3</w:t>
      </w:r>
      <w:r>
        <w:rPr>
          <w:rFonts w:hint="eastAsia"/>
          <w:sz w:val="24"/>
          <w:lang w:val="en-US" w:eastAsia="zh-CN"/>
        </w:rPr>
        <w:t>2</w:t>
      </w:r>
      <w:r>
        <w:rPr>
          <w:sz w:val="24"/>
        </w:rPr>
        <w:t xml:space="preserve">.蓄电池在充电过程中遇有明火，内部应不引燃、不引爆；        </w:t>
      </w:r>
    </w:p>
    <w:p>
      <w:pPr>
        <w:jc w:val="both"/>
      </w:pPr>
      <w:r>
        <w:rPr>
          <w:sz w:val="24"/>
        </w:rPr>
        <w:t>3</w:t>
      </w:r>
      <w:r>
        <w:rPr>
          <w:rFonts w:hint="eastAsia"/>
          <w:sz w:val="24"/>
          <w:lang w:val="en-US" w:eastAsia="zh-CN"/>
        </w:rPr>
        <w:t>3</w:t>
      </w:r>
      <w:r>
        <w:rPr>
          <w:sz w:val="24"/>
        </w:rPr>
        <w:t xml:space="preserve">.抗过充电性好：完全充电后的电池以0.3I10A连续充电160小时，无变形，无漏夜。    </w:t>
      </w:r>
    </w:p>
    <w:p>
      <w:pPr>
        <w:jc w:val="both"/>
      </w:pPr>
      <w:r>
        <w:rPr>
          <w:sz w:val="24"/>
        </w:rPr>
        <w:t>3</w:t>
      </w:r>
      <w:r>
        <w:rPr>
          <w:rFonts w:hint="eastAsia"/>
          <w:sz w:val="24"/>
          <w:lang w:val="en-US" w:eastAsia="zh-CN"/>
        </w:rPr>
        <w:t>4</w:t>
      </w:r>
      <w:r>
        <w:rPr>
          <w:sz w:val="24"/>
        </w:rPr>
        <w:t xml:space="preserve">.蓄电池的安全阀有自动开启和关闭的功能，开阀压应是12-30kPa，闭阀压应是5-25kPa；       </w:t>
      </w:r>
    </w:p>
    <w:p>
      <w:pPr>
        <w:jc w:val="both"/>
      </w:pPr>
      <w:r>
        <w:rPr>
          <w:sz w:val="24"/>
        </w:rPr>
        <w:t>3</w:t>
      </w:r>
      <w:r>
        <w:rPr>
          <w:rFonts w:hint="eastAsia"/>
          <w:sz w:val="24"/>
          <w:lang w:val="en-US" w:eastAsia="zh-CN"/>
        </w:rPr>
        <w:t>5</w:t>
      </w:r>
      <w:r>
        <w:rPr>
          <w:sz w:val="24"/>
        </w:rPr>
        <w:t>.蓄电池采用全密封防泄漏结构，外壳无变型、裂纹及污渍，极性正确，正、负极性及端子有明显标志，便于连接。</w:t>
      </w:r>
    </w:p>
    <w:p>
      <w:pPr>
        <w:pStyle w:val="2"/>
        <w:numPr>
          <w:ilvl w:val="0"/>
          <w:numId w:val="0"/>
        </w:numPr>
        <w:ind w:leftChars="0"/>
      </w:pPr>
      <w:r>
        <w:rPr>
          <w:rFonts w:hint="eastAsia"/>
          <w:sz w:val="24"/>
          <w:lang w:val="en-US" w:eastAsia="zh-CN"/>
        </w:rPr>
        <w:t>36.</w:t>
      </w:r>
      <w:r>
        <w:rPr>
          <w:sz w:val="24"/>
        </w:rPr>
        <w:t>蓄电池企业具有UL认证、CE认证。提供证书复印件。</w:t>
      </w:r>
    </w:p>
    <w:p>
      <w:pPr>
        <w:pStyle w:val="2"/>
        <w:numPr>
          <w:ilvl w:val="0"/>
          <w:numId w:val="0"/>
        </w:numPr>
        <w:ind w:leftChars="0"/>
      </w:pPr>
      <w:r>
        <w:rPr>
          <w:rFonts w:hint="eastAsia" w:ascii="宋体" w:hAnsi="宋体" w:cs="宋体"/>
          <w:sz w:val="24"/>
          <w:szCs w:val="24"/>
          <w:lang w:val="en-US" w:eastAsia="zh-CN"/>
        </w:rPr>
        <w:t>37.</w:t>
      </w:r>
      <w:r>
        <w:rPr>
          <w:rFonts w:ascii="宋体" w:hAnsi="宋体" w:eastAsia="宋体" w:cs="宋体"/>
          <w:sz w:val="24"/>
          <w:szCs w:val="24"/>
        </w:rPr>
        <w:t xml:space="preserve">售后服务： </w:t>
      </w:r>
    </w:p>
    <w:p>
      <w:pPr>
        <w:pStyle w:val="2"/>
        <w:numPr>
          <w:ilvl w:val="0"/>
          <w:numId w:val="2"/>
        </w:numPr>
        <w:ind w:leftChars="0"/>
        <w:rPr>
          <w:rFonts w:ascii="宋体" w:hAnsi="宋体" w:eastAsia="宋体" w:cs="宋体"/>
          <w:sz w:val="24"/>
          <w:szCs w:val="24"/>
        </w:rPr>
      </w:pPr>
      <w:r>
        <w:rPr>
          <w:rFonts w:ascii="宋体" w:hAnsi="宋体" w:eastAsia="宋体" w:cs="宋体"/>
          <w:sz w:val="24"/>
          <w:szCs w:val="24"/>
        </w:rPr>
        <w:t xml:space="preserve">更换的蓄电池至少有三年质保期，且无论在维护期内或维护期外，供应商需提供终身售后服务。 </w:t>
      </w:r>
    </w:p>
    <w:p>
      <w:pPr>
        <w:pStyle w:val="2"/>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供应商须负责培训采购人的使用人员，直至完全掌握UPS蓄电池的日常维护保养及简单维护方法。</w:t>
      </w:r>
    </w:p>
    <w:p>
      <w:pPr>
        <w:pStyle w:val="2"/>
        <w:numPr>
          <w:ilvl w:val="0"/>
          <w:numId w:val="0"/>
        </w:numPr>
        <w:ind w:leftChars="0"/>
        <w:rPr>
          <w:rFonts w:ascii="宋体" w:hAnsi="宋体" w:eastAsia="宋体" w:cs="宋体"/>
          <w:sz w:val="24"/>
          <w:szCs w:val="24"/>
        </w:rPr>
      </w:pPr>
    </w:p>
    <w:p>
      <w:pPr>
        <w:pStyle w:val="2"/>
        <w:numPr>
          <w:ilvl w:val="0"/>
          <w:numId w:val="0"/>
        </w:numPr>
        <w:ind w:leftChars="0"/>
        <w:rPr>
          <w:rFonts w:hint="default" w:ascii="宋体" w:hAnsi="宋体" w:eastAsia="宋体" w:cs="宋体"/>
          <w:sz w:val="24"/>
          <w:szCs w:val="24"/>
          <w:lang w:val="en-US" w:eastAsia="zh-CN"/>
        </w:rPr>
      </w:pPr>
      <w:r>
        <w:rPr>
          <w:rFonts w:hint="eastAsia" w:ascii="宋体" w:hAnsi="宋体" w:cs="宋体"/>
          <w:sz w:val="24"/>
          <w:szCs w:val="24"/>
          <w:lang w:val="en-US" w:eastAsia="zh-CN"/>
        </w:rPr>
        <w:t>备注：打</w:t>
      </w:r>
      <w:r>
        <w:rPr>
          <w:sz w:val="24"/>
        </w:rPr>
        <w:t>▲</w:t>
      </w:r>
      <w:r>
        <w:rPr>
          <w:rFonts w:hint="eastAsia"/>
          <w:sz w:val="24"/>
          <w:lang w:val="en-US" w:eastAsia="zh-CN"/>
        </w:rPr>
        <w:t>的为重要技术参数，</w:t>
      </w:r>
      <w:r>
        <w:t>若有部分“▲”条款未响应或不满足，将导致其响应性评审加重扣分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CEC8C"/>
    <w:multiLevelType w:val="singleLevel"/>
    <w:tmpl w:val="E3FCEC8C"/>
    <w:lvl w:ilvl="0" w:tentative="0">
      <w:start w:val="1"/>
      <w:numFmt w:val="decimal"/>
      <w:suff w:val="nothing"/>
      <w:lvlText w:val="（%1）"/>
      <w:lvlJc w:val="left"/>
    </w:lvl>
  </w:abstractNum>
  <w:abstractNum w:abstractNumId="1">
    <w:nsid w:val="79A7B9C0"/>
    <w:multiLevelType w:val="singleLevel"/>
    <w:tmpl w:val="79A7B9C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jM4MzQwZDg0MzE1MzA2ZTJhNTMxMmFhODE4ZjYifQ=="/>
  </w:docVars>
  <w:rsids>
    <w:rsidRoot w:val="294962FA"/>
    <w:rsid w:val="16FE5ABA"/>
    <w:rsid w:val="1CB41F74"/>
    <w:rsid w:val="294962FA"/>
    <w:rsid w:val="2D906DC5"/>
    <w:rsid w:val="4AD11442"/>
    <w:rsid w:val="5FE7D9D8"/>
    <w:rsid w:val="60D80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1566</Words>
  <Characters>1691</Characters>
  <Lines>0</Lines>
  <Paragraphs>0</Paragraphs>
  <TotalTime>2</TotalTime>
  <ScaleCrop>false</ScaleCrop>
  <LinksUpToDate>false</LinksUpToDate>
  <CharactersWithSpaces>1732</CharactersWithSpaces>
  <Application>WPS Office_6.7.0.8823_F1E327BC-269C-435d-A152-05C5408002CA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2024-05-30T09:21:00Z</dcterms:created>
  <dc:creator>zhou</dc:creator>
  <cp:lastModifiedBy>HakunaMatata</cp:lastModifiedBy>
  <cp:lastPrinted>2024-06-07T09:10:00Z</cp:lastPrinted>
  <dcterms:modified xsi:type="dcterms:W3CDTF">2024-06-18T16:18:06Z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CB79AE0C8E5E4BE595B9678B9E1E6E57_11</vt:lpwstr>
  </property>
</Properties>
</file>