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98" w:line="360" w:lineRule="auto"/>
        <w:ind w:right="123" w:rightChars="0"/>
        <w:jc w:val="center"/>
        <w:outlineLvl w:val="0"/>
        <w:rPr>
          <w:rFonts w:hint="eastAsia" w:ascii="黑体" w:hAnsi="黑体" w:eastAsia="黑体" w:cs="黑体"/>
          <w:b w:val="0"/>
          <w:bCs w:val="0"/>
          <w:i w:val="0"/>
          <w:iCs w:val="0"/>
          <w:color w:val="auto"/>
          <w:sz w:val="30"/>
          <w:szCs w:val="30"/>
          <w:u w:val="none"/>
          <w:lang w:val="en-US" w:eastAsia="zh-CN"/>
        </w:rPr>
      </w:pPr>
      <w:bookmarkStart w:id="0" w:name="_Toc1093"/>
      <w:bookmarkStart w:id="1" w:name="_Toc20866"/>
      <w:bookmarkStart w:id="2" w:name="_Toc6342"/>
      <w:bookmarkStart w:id="3" w:name="_Toc18828"/>
      <w:bookmarkStart w:id="4" w:name="_Toc6884"/>
      <w:bookmarkStart w:id="5" w:name="_Toc28478"/>
      <w:r>
        <w:rPr>
          <w:rFonts w:hint="eastAsia" w:ascii="黑体" w:hAnsi="黑体" w:eastAsia="黑体" w:cs="黑体"/>
          <w:b w:val="0"/>
          <w:bCs w:val="0"/>
          <w:i w:val="0"/>
          <w:iCs w:val="0"/>
          <w:color w:val="auto"/>
          <w:sz w:val="30"/>
          <w:szCs w:val="30"/>
          <w:u w:val="none"/>
          <w:lang w:val="en-US" w:eastAsia="zh-CN"/>
        </w:rPr>
        <w:t>评分体系与标准</w:t>
      </w:r>
      <w:bookmarkEnd w:id="0"/>
      <w:bookmarkEnd w:id="1"/>
      <w:bookmarkEnd w:id="2"/>
      <w:bookmarkEnd w:id="3"/>
      <w:bookmarkEnd w:id="4"/>
      <w:bookmarkEnd w:id="5"/>
    </w:p>
    <w:p>
      <w:pPr>
        <w:pStyle w:val="2"/>
        <w:keepNext w:val="0"/>
        <w:keepLines w:val="0"/>
        <w:pageBreakBefore w:val="0"/>
        <w:widowControl w:val="0"/>
        <w:numPr>
          <w:ilvl w:val="0"/>
          <w:numId w:val="0"/>
        </w:numPr>
        <w:kinsoku/>
        <w:wordWrap/>
        <w:overflowPunct/>
        <w:topLinePunct w:val="0"/>
        <w:autoSpaceDE/>
        <w:autoSpaceDN/>
        <w:bidi w:val="0"/>
        <w:adjustRightInd/>
        <w:snapToGrid/>
        <w:spacing w:before="98" w:line="360" w:lineRule="auto"/>
        <w:ind w:right="0" w:rightChars="0" w:firstLine="482" w:firstLineChars="200"/>
        <w:jc w:val="left"/>
        <w:textAlignment w:val="auto"/>
        <w:outlineLvl w:val="9"/>
        <w:rPr>
          <w:rFonts w:hint="eastAsia" w:cs="宋体"/>
          <w:b/>
          <w:bCs/>
          <w:i w:val="0"/>
          <w:iCs w:val="0"/>
          <w:color w:val="auto"/>
          <w:sz w:val="24"/>
          <w:szCs w:val="24"/>
          <w:u w:val="none"/>
          <w:lang w:val="en-US" w:eastAsia="zh-CN"/>
        </w:rPr>
      </w:pPr>
      <w:r>
        <w:rPr>
          <w:rFonts w:hint="eastAsia" w:cs="宋体"/>
          <w:b/>
          <w:bCs/>
          <w:i w:val="0"/>
          <w:iCs w:val="0"/>
          <w:color w:val="auto"/>
          <w:sz w:val="24"/>
          <w:szCs w:val="24"/>
          <w:u w:val="none"/>
          <w:lang w:val="en-US" w:eastAsia="zh-CN"/>
        </w:rPr>
        <w:t>一、评审方法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98" w:line="360" w:lineRule="auto"/>
        <w:ind w:right="0" w:rightChars="0" w:firstLine="480" w:firstLineChars="200"/>
        <w:jc w:val="left"/>
        <w:textAlignment w:val="auto"/>
        <w:outlineLvl w:val="9"/>
        <w:rPr>
          <w:rFonts w:hint="eastAsia" w:cs="宋体"/>
          <w:b w:val="0"/>
          <w:bCs w:val="0"/>
          <w:i w:val="0"/>
          <w:iCs w:val="0"/>
          <w:color w:val="auto"/>
          <w:sz w:val="24"/>
          <w:szCs w:val="24"/>
          <w:u w:val="none"/>
          <w:lang w:val="en-US" w:eastAsia="zh-CN"/>
        </w:rPr>
      </w:pPr>
      <w:r>
        <w:rPr>
          <w:rFonts w:hint="eastAsia" w:cs="宋体"/>
          <w:b w:val="0"/>
          <w:bCs w:val="0"/>
          <w:i w:val="0"/>
          <w:iCs w:val="0"/>
          <w:color w:val="auto"/>
          <w:sz w:val="24"/>
          <w:szCs w:val="24"/>
          <w:u w:val="none"/>
          <w:lang w:val="en-US" w:eastAsia="zh-CN"/>
        </w:rPr>
        <w:t>本次评审采用综合评分法，即在最大限度地满足遴选文件实质性要求前提下，按照遴选文件中规定的各项因素进行综合评审后，以评审总得分最高的有效响应供应商作为成交候选供应商或者成交供应商的评审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98" w:line="360" w:lineRule="auto"/>
        <w:ind w:right="0" w:rightChars="0" w:firstLine="482" w:firstLineChars="200"/>
        <w:jc w:val="left"/>
        <w:textAlignment w:val="auto"/>
        <w:outlineLvl w:val="9"/>
        <w:rPr>
          <w:rFonts w:hint="default"/>
          <w:color w:val="auto"/>
          <w:sz w:val="24"/>
          <w:szCs w:val="24"/>
          <w:lang w:val="en-US" w:eastAsia="zh-CN"/>
        </w:rPr>
      </w:pPr>
      <w:r>
        <w:rPr>
          <w:rFonts w:hint="eastAsia" w:ascii="宋体" w:hAnsi="宋体" w:eastAsia="宋体" w:cs="宋体"/>
          <w:b/>
          <w:bCs/>
          <w:i w:val="0"/>
          <w:iCs w:val="0"/>
          <w:color w:val="auto"/>
          <w:sz w:val="24"/>
          <w:szCs w:val="24"/>
          <w:u w:val="none"/>
          <w:lang w:val="en-US" w:eastAsia="zh-CN"/>
        </w:rPr>
        <w:t>二、评审</w:t>
      </w:r>
      <w:r>
        <w:rPr>
          <w:rFonts w:hint="eastAsia" w:cs="宋体"/>
          <w:b/>
          <w:bCs/>
          <w:i w:val="0"/>
          <w:iCs w:val="0"/>
          <w:color w:val="auto"/>
          <w:sz w:val="24"/>
          <w:szCs w:val="24"/>
          <w:u w:val="none"/>
          <w:lang w:val="en-US" w:eastAsia="zh-CN"/>
        </w:rPr>
        <w:t>指标</w:t>
      </w:r>
    </w:p>
    <w:p>
      <w:pPr>
        <w:pStyle w:val="2"/>
        <w:numPr>
          <w:ilvl w:val="0"/>
          <w:numId w:val="0"/>
        </w:numPr>
        <w:spacing w:before="98" w:line="720" w:lineRule="auto"/>
        <w:ind w:right="123" w:rightChars="0"/>
        <w:jc w:val="center"/>
        <w:outlineLvl w:val="9"/>
        <w:rPr>
          <w:rFonts w:hint="eastAsia"/>
          <w:b/>
          <w:bCs/>
          <w:color w:val="auto"/>
          <w:sz w:val="24"/>
          <w:szCs w:val="24"/>
          <w:lang w:val="en-US" w:eastAsia="zh-CN"/>
        </w:rPr>
      </w:pPr>
      <w:r>
        <w:rPr>
          <w:rFonts w:hint="eastAsia"/>
          <w:b/>
          <w:bCs/>
          <w:color w:val="auto"/>
          <w:sz w:val="24"/>
          <w:szCs w:val="24"/>
          <w:lang w:val="en-US" w:eastAsia="zh-CN"/>
        </w:rPr>
        <w:t>附表1   技术、商务及价格分值分配</w:t>
      </w:r>
    </w:p>
    <w:tbl>
      <w:tblPr>
        <w:tblStyle w:val="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5"/>
        <w:gridCol w:w="5041"/>
      </w:tblGrid>
      <w:tr>
        <w:trPr>
          <w:jc w:val="center"/>
        </w:trPr>
        <w:tc>
          <w:tcPr>
            <w:tcW w:w="4255" w:type="dxa"/>
            <w:noWrap w:val="0"/>
            <w:vAlign w:val="top"/>
          </w:tcPr>
          <w:p>
            <w:pPr>
              <w:pStyle w:val="2"/>
              <w:numPr>
                <w:ilvl w:val="0"/>
                <w:numId w:val="0"/>
              </w:numPr>
              <w:spacing w:before="98" w:line="360" w:lineRule="auto"/>
              <w:ind w:right="123" w:rightChars="0"/>
              <w:jc w:val="center"/>
              <w:outlineLvl w:val="9"/>
              <w:rPr>
                <w:rFonts w:hint="default"/>
                <w:b/>
                <w:bCs/>
                <w:color w:val="auto"/>
                <w:sz w:val="24"/>
                <w:szCs w:val="24"/>
                <w:vertAlign w:val="baseline"/>
                <w:lang w:val="en-US" w:eastAsia="zh-CN"/>
              </w:rPr>
            </w:pPr>
            <w:r>
              <w:rPr>
                <w:rFonts w:hint="eastAsia"/>
                <w:b/>
                <w:bCs/>
                <w:color w:val="auto"/>
                <w:sz w:val="24"/>
                <w:szCs w:val="24"/>
                <w:vertAlign w:val="baseline"/>
                <w:lang w:val="en-US" w:eastAsia="zh-CN"/>
              </w:rPr>
              <w:t>评分项目</w:t>
            </w:r>
          </w:p>
        </w:tc>
        <w:tc>
          <w:tcPr>
            <w:tcW w:w="5041" w:type="dxa"/>
            <w:noWrap w:val="0"/>
            <w:vAlign w:val="top"/>
          </w:tcPr>
          <w:p>
            <w:pPr>
              <w:pStyle w:val="2"/>
              <w:numPr>
                <w:ilvl w:val="0"/>
                <w:numId w:val="0"/>
              </w:numPr>
              <w:spacing w:before="98" w:line="360" w:lineRule="auto"/>
              <w:ind w:right="123" w:rightChars="0"/>
              <w:jc w:val="center"/>
              <w:outlineLvl w:val="9"/>
              <w:rPr>
                <w:rFonts w:hint="default"/>
                <w:b/>
                <w:bCs/>
                <w:color w:val="auto"/>
                <w:sz w:val="24"/>
                <w:szCs w:val="24"/>
                <w:vertAlign w:val="baseline"/>
                <w:lang w:val="en-US" w:eastAsia="zh-CN"/>
              </w:rPr>
            </w:pPr>
            <w:r>
              <w:rPr>
                <w:rFonts w:hint="eastAsia"/>
                <w:b/>
                <w:bCs/>
                <w:color w:val="auto"/>
                <w:sz w:val="24"/>
                <w:szCs w:val="24"/>
                <w:vertAlign w:val="baseline"/>
                <w:lang w:val="en-US" w:eastAsia="zh-CN"/>
              </w:rPr>
              <w:t>评分分值</w:t>
            </w:r>
          </w:p>
        </w:tc>
      </w:tr>
      <w:tr>
        <w:trPr>
          <w:jc w:val="center"/>
        </w:trPr>
        <w:tc>
          <w:tcPr>
            <w:tcW w:w="4255"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技术部分</w:t>
            </w:r>
          </w:p>
        </w:tc>
        <w:tc>
          <w:tcPr>
            <w:tcW w:w="5041"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45分</w:t>
            </w:r>
          </w:p>
        </w:tc>
      </w:tr>
      <w:tr>
        <w:trPr>
          <w:jc w:val="center"/>
        </w:trPr>
        <w:tc>
          <w:tcPr>
            <w:tcW w:w="4255"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商务部分</w:t>
            </w:r>
          </w:p>
        </w:tc>
        <w:tc>
          <w:tcPr>
            <w:tcW w:w="5041"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25分</w:t>
            </w:r>
          </w:p>
        </w:tc>
      </w:tr>
      <w:tr>
        <w:trPr>
          <w:jc w:val="center"/>
        </w:trPr>
        <w:tc>
          <w:tcPr>
            <w:tcW w:w="4255"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价格部分</w:t>
            </w:r>
          </w:p>
        </w:tc>
        <w:tc>
          <w:tcPr>
            <w:tcW w:w="5041"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30分</w:t>
            </w:r>
          </w:p>
        </w:tc>
      </w:tr>
      <w:tr>
        <w:trPr>
          <w:jc w:val="center"/>
        </w:trPr>
        <w:tc>
          <w:tcPr>
            <w:tcW w:w="4255"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合计</w:t>
            </w:r>
          </w:p>
        </w:tc>
        <w:tc>
          <w:tcPr>
            <w:tcW w:w="5041" w:type="dxa"/>
            <w:noWrap w:val="0"/>
            <w:vAlign w:val="top"/>
          </w:tcPr>
          <w:p>
            <w:pPr>
              <w:pStyle w:val="2"/>
              <w:numPr>
                <w:ilvl w:val="0"/>
                <w:numId w:val="0"/>
              </w:numPr>
              <w:spacing w:before="98" w:line="360" w:lineRule="auto"/>
              <w:ind w:right="123" w:rightChars="0"/>
              <w:jc w:val="center"/>
              <w:outlineLvl w:val="9"/>
              <w:rPr>
                <w:rFonts w:hint="default"/>
                <w:color w:val="auto"/>
                <w:sz w:val="24"/>
                <w:szCs w:val="24"/>
                <w:vertAlign w:val="baseline"/>
                <w:lang w:val="en-US" w:eastAsia="zh-CN"/>
              </w:rPr>
            </w:pPr>
            <w:r>
              <w:rPr>
                <w:rFonts w:hint="eastAsia"/>
                <w:color w:val="auto"/>
                <w:sz w:val="24"/>
                <w:szCs w:val="24"/>
                <w:vertAlign w:val="baseline"/>
                <w:lang w:val="en-US" w:eastAsia="zh-CN"/>
              </w:rPr>
              <w:t>100分</w:t>
            </w:r>
          </w:p>
        </w:tc>
      </w:tr>
    </w:tbl>
    <w:p>
      <w:pPr>
        <w:pStyle w:val="2"/>
        <w:numPr>
          <w:ilvl w:val="0"/>
          <w:numId w:val="0"/>
        </w:numPr>
        <w:spacing w:before="98" w:line="360" w:lineRule="auto"/>
        <w:ind w:right="123" w:rightChars="0"/>
        <w:jc w:val="both"/>
        <w:outlineLvl w:val="9"/>
        <w:rPr>
          <w:rFonts w:hint="eastAsia" w:ascii="宋体" w:hAnsi="宋体" w:eastAsia="宋体" w:cs="Times New Roman"/>
          <w:b/>
          <w:bCs/>
          <w:color w:val="auto"/>
          <w:sz w:val="24"/>
          <w:szCs w:val="24"/>
          <w:lang w:val="en-US" w:eastAsia="zh-CN"/>
        </w:rPr>
      </w:pPr>
    </w:p>
    <w:p>
      <w:pPr>
        <w:pStyle w:val="2"/>
        <w:numPr>
          <w:ilvl w:val="0"/>
          <w:numId w:val="0"/>
        </w:numPr>
        <w:spacing w:before="98" w:line="720" w:lineRule="auto"/>
        <w:ind w:right="123" w:rightChars="0"/>
        <w:jc w:val="center"/>
        <w:outlineLvl w:val="9"/>
        <w:rPr>
          <w:rFonts w:hint="default"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附表</w:t>
      </w:r>
      <w:r>
        <w:rPr>
          <w:rFonts w:hint="eastAsia" w:cs="Times New Roman"/>
          <w:b/>
          <w:bCs/>
          <w:color w:val="auto"/>
          <w:sz w:val="24"/>
          <w:szCs w:val="24"/>
          <w:lang w:val="en-US" w:eastAsia="zh-CN"/>
        </w:rPr>
        <w:t>2</w:t>
      </w:r>
      <w:r>
        <w:rPr>
          <w:rFonts w:hint="eastAsia" w:ascii="宋体" w:hAnsi="宋体" w:eastAsia="宋体" w:cs="Times New Roman"/>
          <w:b/>
          <w:bCs/>
          <w:color w:val="auto"/>
          <w:sz w:val="24"/>
          <w:szCs w:val="24"/>
          <w:lang w:val="en-US" w:eastAsia="zh-CN"/>
        </w:rPr>
        <w:t xml:space="preserve">   技术评分表（</w:t>
      </w:r>
      <w:r>
        <w:rPr>
          <w:rFonts w:hint="eastAsia" w:cs="Times New Roman"/>
          <w:b/>
          <w:bCs/>
          <w:color w:val="auto"/>
          <w:sz w:val="24"/>
          <w:szCs w:val="24"/>
          <w:lang w:val="en-US" w:eastAsia="zh-CN"/>
        </w:rPr>
        <w:t>45</w:t>
      </w:r>
      <w:r>
        <w:rPr>
          <w:rFonts w:hint="eastAsia" w:ascii="宋体" w:hAnsi="宋体" w:eastAsia="宋体" w:cs="Times New Roman"/>
          <w:b/>
          <w:bCs/>
          <w:color w:val="auto"/>
          <w:sz w:val="24"/>
          <w:szCs w:val="24"/>
          <w:lang w:val="en-US" w:eastAsia="zh-CN"/>
        </w:rPr>
        <w:t>分）</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845"/>
        <w:gridCol w:w="6405"/>
        <w:gridCol w:w="594"/>
      </w:tblGrid>
      <w:tr>
        <w:trPr>
          <w:tblHeader/>
          <w:jc w:val="center"/>
        </w:trPr>
        <w:tc>
          <w:tcPr>
            <w:tcW w:w="444"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序号</w:t>
            </w:r>
          </w:p>
        </w:tc>
        <w:tc>
          <w:tcPr>
            <w:tcW w:w="1845"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评审分项</w:t>
            </w:r>
          </w:p>
        </w:tc>
        <w:tc>
          <w:tcPr>
            <w:tcW w:w="6405"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评审指标</w:t>
            </w:r>
          </w:p>
        </w:tc>
        <w:tc>
          <w:tcPr>
            <w:tcW w:w="594"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分值</w:t>
            </w:r>
          </w:p>
        </w:tc>
      </w:tr>
      <w:tr>
        <w:trPr>
          <w:trHeight w:val="90" w:hRule="atLeast"/>
          <w:jc w:val="center"/>
        </w:trPr>
        <w:tc>
          <w:tcPr>
            <w:tcW w:w="444" w:type="dxa"/>
            <w:noWrap w:val="0"/>
            <w:vAlign w:val="center"/>
          </w:tcPr>
          <w:p>
            <w:pPr>
              <w:pStyle w:val="2"/>
              <w:numPr>
                <w:ilvl w:val="0"/>
                <w:numId w:val="0"/>
              </w:numPr>
              <w:spacing w:before="98" w:line="240" w:lineRule="auto"/>
              <w:ind w:right="123" w:rightChars="0"/>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1845" w:type="dxa"/>
            <w:noWrap w:val="0"/>
            <w:vAlign w:val="center"/>
          </w:tcPr>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highlight w:val="none"/>
                <w:lang w:val="en-US" w:eastAsia="zh-CN"/>
              </w:rPr>
            </w:pPr>
            <w:r>
              <w:rPr>
                <w:rFonts w:hint="eastAsia" w:cs="宋体"/>
                <w:color w:val="auto"/>
                <w:spacing w:val="2"/>
                <w:sz w:val="24"/>
                <w:szCs w:val="24"/>
                <w:lang w:val="en-US" w:eastAsia="zh-CN"/>
              </w:rPr>
              <w:t>整体服务实施方案</w:t>
            </w:r>
          </w:p>
        </w:tc>
        <w:tc>
          <w:tcPr>
            <w:tcW w:w="6405" w:type="dxa"/>
            <w:noWrap w:val="0"/>
            <w:vAlign w:val="top"/>
          </w:tcPr>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lang w:val="en-US" w:eastAsia="zh-CN"/>
              </w:rPr>
            </w:pPr>
            <w:r>
              <w:rPr>
                <w:rFonts w:hint="eastAsia" w:cs="宋体"/>
                <w:color w:val="auto"/>
                <w:spacing w:val="2"/>
                <w:sz w:val="24"/>
                <w:szCs w:val="24"/>
                <w:lang w:val="en-US" w:eastAsia="zh-CN"/>
              </w:rPr>
              <w:t>根据供应商提供的整体服务方案情况进行综合评审</w:t>
            </w:r>
          </w:p>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lang w:val="en-US" w:eastAsia="zh-CN"/>
              </w:rPr>
            </w:pPr>
            <w:r>
              <w:rPr>
                <w:rFonts w:hint="default" w:ascii="宋体" w:hAnsi="宋体" w:eastAsia="宋体" w:cs="宋体"/>
                <w:color w:val="auto"/>
                <w:spacing w:val="2"/>
                <w:sz w:val="24"/>
                <w:szCs w:val="24"/>
                <w:lang w:val="en-US" w:eastAsia="zh-CN"/>
              </w:rPr>
              <w:t>优：</w:t>
            </w:r>
            <w:r>
              <w:rPr>
                <w:rFonts w:hint="eastAsia" w:cs="宋体"/>
                <w:color w:val="auto"/>
                <w:spacing w:val="2"/>
                <w:sz w:val="24"/>
                <w:szCs w:val="24"/>
                <w:lang w:val="en-US" w:eastAsia="zh-CN"/>
              </w:rPr>
              <w:t>方案制定科学合理</w:t>
            </w:r>
            <w:r>
              <w:rPr>
                <w:rFonts w:hint="eastAsia" w:ascii="宋体" w:hAnsi="宋体" w:eastAsia="宋体" w:cs="宋体"/>
                <w:color w:val="auto"/>
                <w:spacing w:val="2"/>
                <w:sz w:val="24"/>
                <w:szCs w:val="24"/>
                <w:lang w:val="en-US" w:eastAsia="zh-CN"/>
              </w:rPr>
              <w:t>，</w:t>
            </w:r>
            <w:r>
              <w:rPr>
                <w:rFonts w:hint="eastAsia" w:cs="宋体"/>
                <w:color w:val="auto"/>
                <w:spacing w:val="2"/>
                <w:sz w:val="24"/>
                <w:szCs w:val="24"/>
                <w:lang w:val="en-US" w:eastAsia="zh-CN"/>
              </w:rPr>
              <w:t>针对性强，</w:t>
            </w:r>
            <w:r>
              <w:rPr>
                <w:rFonts w:hint="default" w:ascii="宋体" w:hAnsi="宋体" w:eastAsia="宋体" w:cs="宋体"/>
                <w:color w:val="auto"/>
                <w:spacing w:val="2"/>
                <w:sz w:val="24"/>
                <w:szCs w:val="24"/>
                <w:lang w:val="en-US" w:eastAsia="zh-CN"/>
              </w:rPr>
              <w:t xml:space="preserve">得 </w:t>
            </w:r>
            <w:r>
              <w:rPr>
                <w:rFonts w:hint="eastAsia" w:cs="宋体"/>
                <w:color w:val="auto"/>
                <w:spacing w:val="2"/>
                <w:sz w:val="24"/>
                <w:szCs w:val="24"/>
                <w:lang w:val="en-US" w:eastAsia="zh-CN"/>
              </w:rPr>
              <w:t>25</w:t>
            </w:r>
            <w:r>
              <w:rPr>
                <w:rFonts w:hint="default" w:ascii="宋体" w:hAnsi="宋体" w:eastAsia="宋体" w:cs="宋体"/>
                <w:color w:val="auto"/>
                <w:spacing w:val="2"/>
                <w:sz w:val="24"/>
                <w:szCs w:val="24"/>
                <w:lang w:val="en-US" w:eastAsia="zh-CN"/>
              </w:rPr>
              <w:t>分；</w:t>
            </w:r>
          </w:p>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lang w:val="en-US" w:eastAsia="zh-CN"/>
              </w:rPr>
            </w:pPr>
            <w:r>
              <w:rPr>
                <w:rFonts w:hint="default" w:ascii="宋体" w:hAnsi="宋体" w:eastAsia="宋体" w:cs="宋体"/>
                <w:color w:val="auto"/>
                <w:spacing w:val="2"/>
                <w:sz w:val="24"/>
                <w:szCs w:val="24"/>
                <w:lang w:val="en-US" w:eastAsia="zh-CN"/>
              </w:rPr>
              <w:t>良：</w:t>
            </w:r>
            <w:r>
              <w:rPr>
                <w:rFonts w:hint="eastAsia" w:cs="宋体"/>
                <w:color w:val="auto"/>
                <w:spacing w:val="2"/>
                <w:sz w:val="24"/>
                <w:szCs w:val="24"/>
                <w:lang w:val="en-US" w:eastAsia="zh-CN"/>
              </w:rPr>
              <w:t>方案制定较科学合理</w:t>
            </w:r>
            <w:r>
              <w:rPr>
                <w:rFonts w:hint="eastAsia" w:ascii="宋体" w:hAnsi="宋体" w:eastAsia="宋体" w:cs="宋体"/>
                <w:color w:val="auto"/>
                <w:spacing w:val="2"/>
                <w:sz w:val="24"/>
                <w:szCs w:val="24"/>
                <w:lang w:val="en-US" w:eastAsia="zh-CN"/>
              </w:rPr>
              <w:t>，</w:t>
            </w:r>
            <w:r>
              <w:rPr>
                <w:rFonts w:hint="eastAsia" w:cs="宋体"/>
                <w:color w:val="auto"/>
                <w:spacing w:val="2"/>
                <w:sz w:val="24"/>
                <w:szCs w:val="24"/>
                <w:lang w:val="en-US" w:eastAsia="zh-CN"/>
              </w:rPr>
              <w:t>有针对性</w:t>
            </w:r>
            <w:r>
              <w:rPr>
                <w:rFonts w:hint="eastAsia" w:ascii="宋体" w:hAnsi="宋体" w:eastAsia="宋体" w:cs="宋体"/>
                <w:color w:val="auto"/>
                <w:spacing w:val="2"/>
                <w:sz w:val="24"/>
                <w:szCs w:val="24"/>
                <w:lang w:val="en-US" w:eastAsia="zh-CN"/>
              </w:rPr>
              <w:t>，</w:t>
            </w:r>
            <w:r>
              <w:rPr>
                <w:rFonts w:hint="default" w:ascii="宋体" w:hAnsi="宋体" w:eastAsia="宋体" w:cs="宋体"/>
                <w:color w:val="auto"/>
                <w:spacing w:val="2"/>
                <w:sz w:val="24"/>
                <w:szCs w:val="24"/>
                <w:lang w:val="en-US" w:eastAsia="zh-CN"/>
              </w:rPr>
              <w:t xml:space="preserve">得 </w:t>
            </w:r>
            <w:r>
              <w:rPr>
                <w:rFonts w:hint="eastAsia" w:cs="宋体"/>
                <w:color w:val="auto"/>
                <w:spacing w:val="2"/>
                <w:sz w:val="24"/>
                <w:szCs w:val="24"/>
                <w:lang w:val="en-US" w:eastAsia="zh-CN"/>
              </w:rPr>
              <w:t>15</w:t>
            </w:r>
            <w:r>
              <w:rPr>
                <w:rFonts w:hint="default" w:ascii="宋体" w:hAnsi="宋体" w:eastAsia="宋体" w:cs="宋体"/>
                <w:color w:val="auto"/>
                <w:spacing w:val="2"/>
                <w:sz w:val="24"/>
                <w:szCs w:val="24"/>
                <w:lang w:val="en-US" w:eastAsia="zh-CN"/>
              </w:rPr>
              <w:t>分；</w:t>
            </w:r>
          </w:p>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lang w:val="en-US" w:eastAsia="zh-CN"/>
              </w:rPr>
              <w:t>差：</w:t>
            </w:r>
            <w:r>
              <w:rPr>
                <w:rFonts w:hint="eastAsia" w:cs="宋体"/>
                <w:color w:val="auto"/>
                <w:spacing w:val="2"/>
                <w:sz w:val="24"/>
                <w:szCs w:val="24"/>
                <w:lang w:val="en-US" w:eastAsia="zh-CN"/>
              </w:rPr>
              <w:t>方案制定</w:t>
            </w:r>
            <w:r>
              <w:rPr>
                <w:rFonts w:hint="eastAsia" w:ascii="宋体" w:hAnsi="宋体" w:eastAsia="宋体" w:cs="宋体"/>
                <w:color w:val="auto"/>
                <w:spacing w:val="2"/>
                <w:sz w:val="24"/>
                <w:szCs w:val="24"/>
                <w:lang w:val="en-US" w:eastAsia="zh-CN"/>
              </w:rPr>
              <w:t>合理性较差，或对关键节点的控制措施可行性较差，</w:t>
            </w:r>
            <w:r>
              <w:rPr>
                <w:rFonts w:hint="default" w:ascii="宋体" w:hAnsi="宋体" w:eastAsia="宋体" w:cs="宋体"/>
                <w:color w:val="auto"/>
                <w:spacing w:val="2"/>
                <w:sz w:val="24"/>
                <w:szCs w:val="24"/>
                <w:lang w:val="en-US" w:eastAsia="zh-CN"/>
              </w:rPr>
              <w:t>得</w:t>
            </w:r>
            <w:r>
              <w:rPr>
                <w:rFonts w:hint="eastAsia" w:cs="宋体"/>
                <w:color w:val="auto"/>
                <w:spacing w:val="2"/>
                <w:sz w:val="24"/>
                <w:szCs w:val="24"/>
                <w:lang w:val="en-US" w:eastAsia="zh-CN"/>
              </w:rPr>
              <w:t>5</w:t>
            </w:r>
            <w:r>
              <w:rPr>
                <w:rFonts w:hint="default" w:ascii="宋体" w:hAnsi="宋体" w:eastAsia="宋体" w:cs="宋体"/>
                <w:color w:val="auto"/>
                <w:spacing w:val="2"/>
                <w:sz w:val="24"/>
                <w:szCs w:val="24"/>
                <w:lang w:val="en-US" w:eastAsia="zh-CN"/>
              </w:rPr>
              <w:t>分。</w:t>
            </w:r>
          </w:p>
        </w:tc>
        <w:tc>
          <w:tcPr>
            <w:tcW w:w="594" w:type="dxa"/>
            <w:noWrap w:val="0"/>
            <w:vAlign w:val="center"/>
          </w:tcPr>
          <w:p>
            <w:pPr>
              <w:pStyle w:val="2"/>
              <w:numPr>
                <w:ilvl w:val="0"/>
                <w:numId w:val="0"/>
              </w:numPr>
              <w:spacing w:before="98" w:line="240" w:lineRule="auto"/>
              <w:ind w:right="123" w:rightChars="0"/>
              <w:jc w:val="center"/>
              <w:outlineLvl w:val="9"/>
              <w:rPr>
                <w:rFonts w:hint="eastAsia" w:ascii="宋体" w:hAnsi="宋体" w:eastAsia="宋体" w:cs="宋体"/>
                <w:color w:val="auto"/>
                <w:spacing w:val="2"/>
                <w:sz w:val="24"/>
                <w:szCs w:val="24"/>
                <w:lang w:val="en-US" w:eastAsia="zh-CN"/>
              </w:rPr>
            </w:pPr>
            <w:r>
              <w:rPr>
                <w:rFonts w:hint="eastAsia" w:cs="宋体"/>
                <w:color w:val="auto"/>
                <w:spacing w:val="2"/>
                <w:sz w:val="24"/>
                <w:szCs w:val="24"/>
                <w:lang w:val="en-US" w:eastAsia="zh-CN"/>
              </w:rPr>
              <w:t>25</w:t>
            </w:r>
            <w:r>
              <w:rPr>
                <w:rFonts w:hint="default" w:ascii="宋体" w:hAnsi="宋体" w:eastAsia="宋体" w:cs="宋体"/>
                <w:color w:val="auto"/>
                <w:spacing w:val="2"/>
                <w:sz w:val="24"/>
                <w:szCs w:val="24"/>
                <w:lang w:val="en-US" w:eastAsia="zh-CN"/>
              </w:rPr>
              <w:t>分</w:t>
            </w:r>
          </w:p>
        </w:tc>
      </w:tr>
      <w:tr>
        <w:trPr>
          <w:jc w:val="center"/>
        </w:trPr>
        <w:tc>
          <w:tcPr>
            <w:tcW w:w="444" w:type="dxa"/>
            <w:noWrap w:val="0"/>
            <w:vAlign w:val="center"/>
          </w:tcPr>
          <w:p>
            <w:pPr>
              <w:pStyle w:val="2"/>
              <w:numPr>
                <w:ilvl w:val="0"/>
                <w:numId w:val="0"/>
              </w:numPr>
              <w:spacing w:before="98" w:line="240" w:lineRule="auto"/>
              <w:ind w:right="123" w:rightChars="0"/>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1845" w:type="dxa"/>
            <w:noWrap w:val="0"/>
            <w:vAlign w:val="center"/>
          </w:tcPr>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lang w:val="en-US" w:eastAsia="zh-CN"/>
              </w:rPr>
            </w:pPr>
            <w:r>
              <w:rPr>
                <w:rFonts w:hint="eastAsia" w:cs="宋体"/>
                <w:color w:val="auto"/>
                <w:spacing w:val="2"/>
                <w:sz w:val="24"/>
                <w:szCs w:val="24"/>
                <w:highlight w:val="none"/>
                <w:lang w:val="en-US" w:eastAsia="zh-CN"/>
              </w:rPr>
              <w:t>针对绿化养护服务项目特点、难点分析</w:t>
            </w:r>
          </w:p>
        </w:tc>
        <w:tc>
          <w:tcPr>
            <w:tcW w:w="6405" w:type="dxa"/>
            <w:noWrap w:val="0"/>
            <w:vAlign w:val="center"/>
          </w:tcPr>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优：</w:t>
            </w:r>
            <w:r>
              <w:rPr>
                <w:rFonts w:hint="eastAsia" w:cs="宋体"/>
                <w:color w:val="auto"/>
                <w:spacing w:val="2"/>
                <w:sz w:val="24"/>
                <w:szCs w:val="24"/>
                <w:highlight w:val="none"/>
                <w:lang w:val="en-US" w:eastAsia="zh-CN"/>
              </w:rPr>
              <w:t>服务特点、难点定位准确</w:t>
            </w:r>
            <w:r>
              <w:rPr>
                <w:rFonts w:hint="default" w:ascii="宋体" w:hAnsi="宋体" w:eastAsia="宋体" w:cs="宋体"/>
                <w:color w:val="auto"/>
                <w:spacing w:val="2"/>
                <w:sz w:val="24"/>
                <w:szCs w:val="24"/>
                <w:highlight w:val="none"/>
                <w:lang w:val="en-US" w:eastAsia="zh-CN"/>
              </w:rPr>
              <w:t>，</w:t>
            </w:r>
            <w:r>
              <w:rPr>
                <w:rFonts w:hint="eastAsia" w:cs="宋体"/>
                <w:color w:val="auto"/>
                <w:spacing w:val="2"/>
                <w:sz w:val="24"/>
                <w:szCs w:val="24"/>
                <w:highlight w:val="none"/>
                <w:lang w:val="en-US" w:eastAsia="zh-CN"/>
              </w:rPr>
              <w:t>分析合理，整体策划方案针对性强，服务指标承诺符合实际，</w:t>
            </w:r>
            <w:r>
              <w:rPr>
                <w:rFonts w:hint="default" w:ascii="宋体" w:hAnsi="宋体" w:eastAsia="宋体" w:cs="宋体"/>
                <w:color w:val="auto"/>
                <w:spacing w:val="2"/>
                <w:sz w:val="24"/>
                <w:szCs w:val="24"/>
                <w:highlight w:val="none"/>
                <w:lang w:val="en-US" w:eastAsia="zh-CN"/>
              </w:rPr>
              <w:t>得 1</w:t>
            </w:r>
            <w:r>
              <w:rPr>
                <w:rFonts w:hint="eastAsia" w:cs="宋体"/>
                <w:color w:val="auto"/>
                <w:spacing w:val="2"/>
                <w:sz w:val="24"/>
                <w:szCs w:val="24"/>
                <w:highlight w:val="none"/>
                <w:lang w:val="en-US" w:eastAsia="zh-CN"/>
              </w:rPr>
              <w:t>0</w:t>
            </w:r>
            <w:r>
              <w:rPr>
                <w:rFonts w:hint="default" w:ascii="宋体" w:hAnsi="宋体" w:eastAsia="宋体" w:cs="宋体"/>
                <w:color w:val="auto"/>
                <w:spacing w:val="2"/>
                <w:sz w:val="24"/>
                <w:szCs w:val="24"/>
                <w:highlight w:val="none"/>
                <w:lang w:val="en-US" w:eastAsia="zh-CN"/>
              </w:rPr>
              <w:t xml:space="preserve"> 分；</w:t>
            </w:r>
          </w:p>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良：</w:t>
            </w:r>
            <w:r>
              <w:rPr>
                <w:rFonts w:hint="eastAsia" w:cs="宋体"/>
                <w:color w:val="auto"/>
                <w:spacing w:val="2"/>
                <w:sz w:val="24"/>
                <w:szCs w:val="24"/>
                <w:highlight w:val="none"/>
                <w:lang w:val="en-US" w:eastAsia="zh-CN"/>
              </w:rPr>
              <w:t>服务特点、难点定位较准确</w:t>
            </w:r>
            <w:r>
              <w:rPr>
                <w:rFonts w:hint="default" w:ascii="宋体" w:hAnsi="宋体" w:eastAsia="宋体" w:cs="宋体"/>
                <w:color w:val="auto"/>
                <w:spacing w:val="2"/>
                <w:sz w:val="24"/>
                <w:szCs w:val="24"/>
                <w:highlight w:val="none"/>
                <w:lang w:val="en-US" w:eastAsia="zh-CN"/>
              </w:rPr>
              <w:t>，</w:t>
            </w:r>
            <w:r>
              <w:rPr>
                <w:rFonts w:hint="eastAsia" w:cs="宋体"/>
                <w:color w:val="auto"/>
                <w:spacing w:val="2"/>
                <w:sz w:val="24"/>
                <w:szCs w:val="24"/>
                <w:highlight w:val="none"/>
                <w:lang w:val="en-US" w:eastAsia="zh-CN"/>
              </w:rPr>
              <w:t>分析较合理，整体策划方案针对性较强，服务指标承诺符合实际，</w:t>
            </w:r>
            <w:r>
              <w:rPr>
                <w:rFonts w:hint="default" w:ascii="宋体" w:hAnsi="宋体" w:eastAsia="宋体" w:cs="宋体"/>
                <w:color w:val="auto"/>
                <w:spacing w:val="2"/>
                <w:sz w:val="24"/>
                <w:szCs w:val="24"/>
                <w:highlight w:val="none"/>
                <w:lang w:val="en-US" w:eastAsia="zh-CN"/>
              </w:rPr>
              <w:t>得</w:t>
            </w:r>
            <w:r>
              <w:rPr>
                <w:rFonts w:hint="eastAsia" w:cs="宋体"/>
                <w:color w:val="auto"/>
                <w:spacing w:val="2"/>
                <w:sz w:val="24"/>
                <w:szCs w:val="24"/>
                <w:highlight w:val="none"/>
                <w:lang w:val="en-US" w:eastAsia="zh-CN"/>
              </w:rPr>
              <w:t>6</w:t>
            </w:r>
            <w:r>
              <w:rPr>
                <w:rFonts w:hint="default" w:ascii="宋体" w:hAnsi="宋体" w:eastAsia="宋体" w:cs="宋体"/>
                <w:color w:val="auto"/>
                <w:spacing w:val="2"/>
                <w:sz w:val="24"/>
                <w:szCs w:val="24"/>
                <w:highlight w:val="none"/>
                <w:lang w:val="en-US" w:eastAsia="zh-CN"/>
              </w:rPr>
              <w:t>分；</w:t>
            </w:r>
          </w:p>
          <w:p>
            <w:pPr>
              <w:pStyle w:val="2"/>
              <w:numPr>
                <w:ilvl w:val="0"/>
                <w:numId w:val="0"/>
              </w:numPr>
              <w:spacing w:before="98" w:line="240" w:lineRule="auto"/>
              <w:ind w:right="123" w:rightChars="0"/>
              <w:jc w:val="both"/>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highlight w:val="none"/>
                <w:lang w:val="en-US" w:eastAsia="zh-CN"/>
              </w:rPr>
              <w:t>差：</w:t>
            </w:r>
            <w:r>
              <w:rPr>
                <w:rFonts w:hint="eastAsia" w:cs="宋体"/>
                <w:color w:val="auto"/>
                <w:spacing w:val="2"/>
                <w:sz w:val="24"/>
                <w:szCs w:val="24"/>
                <w:highlight w:val="none"/>
                <w:lang w:val="en-US" w:eastAsia="zh-CN"/>
              </w:rPr>
              <w:t>服务特点、难点定位较准确</w:t>
            </w:r>
            <w:r>
              <w:rPr>
                <w:rFonts w:hint="default" w:ascii="宋体" w:hAnsi="宋体" w:eastAsia="宋体" w:cs="宋体"/>
                <w:color w:val="auto"/>
                <w:spacing w:val="2"/>
                <w:sz w:val="24"/>
                <w:szCs w:val="24"/>
                <w:highlight w:val="none"/>
                <w:lang w:val="en-US" w:eastAsia="zh-CN"/>
              </w:rPr>
              <w:t>，</w:t>
            </w:r>
            <w:r>
              <w:rPr>
                <w:rFonts w:hint="eastAsia" w:cs="宋体"/>
                <w:color w:val="auto"/>
                <w:spacing w:val="2"/>
                <w:sz w:val="24"/>
                <w:szCs w:val="24"/>
                <w:highlight w:val="none"/>
                <w:lang w:val="en-US" w:eastAsia="zh-CN"/>
              </w:rPr>
              <w:t>分析不合理，整体策划方案针对性弱，服务指标承诺符合实际</w:t>
            </w:r>
            <w:r>
              <w:rPr>
                <w:rFonts w:hint="eastAsia" w:ascii="宋体" w:hAnsi="宋体" w:eastAsia="宋体" w:cs="宋体"/>
                <w:color w:val="auto"/>
                <w:spacing w:val="2"/>
                <w:sz w:val="24"/>
                <w:szCs w:val="24"/>
                <w:highlight w:val="none"/>
                <w:lang w:val="en-US" w:eastAsia="zh-CN"/>
              </w:rPr>
              <w:t>，得</w:t>
            </w:r>
            <w:r>
              <w:rPr>
                <w:rFonts w:hint="eastAsia"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en-US" w:eastAsia="zh-CN"/>
              </w:rPr>
              <w:t>分。</w:t>
            </w:r>
          </w:p>
        </w:tc>
        <w:tc>
          <w:tcPr>
            <w:tcW w:w="594" w:type="dxa"/>
            <w:noWrap w:val="0"/>
            <w:vAlign w:val="center"/>
          </w:tcPr>
          <w:p>
            <w:pPr>
              <w:pStyle w:val="2"/>
              <w:numPr>
                <w:ilvl w:val="0"/>
                <w:numId w:val="0"/>
              </w:numPr>
              <w:spacing w:before="98" w:line="240" w:lineRule="auto"/>
              <w:ind w:right="123" w:rightChars="0"/>
              <w:jc w:val="center"/>
              <w:outlineLvl w:val="9"/>
              <w:rPr>
                <w:rFonts w:hint="eastAsia" w:ascii="宋体" w:hAnsi="宋体" w:eastAsia="宋体" w:cs="宋体"/>
                <w:color w:val="auto"/>
                <w:spacing w:val="2"/>
                <w:sz w:val="24"/>
                <w:szCs w:val="24"/>
                <w:lang w:val="en-US" w:eastAsia="zh-CN"/>
              </w:rPr>
            </w:pPr>
            <w:r>
              <w:rPr>
                <w:rFonts w:hint="default" w:ascii="宋体" w:hAnsi="宋体" w:eastAsia="宋体" w:cs="宋体"/>
                <w:color w:val="auto"/>
                <w:spacing w:val="2"/>
                <w:sz w:val="24"/>
                <w:szCs w:val="24"/>
                <w:lang w:val="en-US" w:eastAsia="zh-CN"/>
              </w:rPr>
              <w:t>1</w:t>
            </w:r>
            <w:r>
              <w:rPr>
                <w:rFonts w:hint="eastAsia" w:cs="宋体"/>
                <w:color w:val="auto"/>
                <w:spacing w:val="2"/>
                <w:sz w:val="24"/>
                <w:szCs w:val="24"/>
                <w:lang w:val="en-US" w:eastAsia="zh-CN"/>
              </w:rPr>
              <w:t>0</w:t>
            </w:r>
            <w:r>
              <w:rPr>
                <w:rFonts w:hint="default" w:ascii="宋体" w:hAnsi="宋体" w:eastAsia="宋体" w:cs="宋体"/>
                <w:color w:val="auto"/>
                <w:spacing w:val="2"/>
                <w:sz w:val="24"/>
                <w:szCs w:val="24"/>
                <w:lang w:val="en-US" w:eastAsia="zh-CN"/>
              </w:rPr>
              <w:t xml:space="preserve"> 分</w:t>
            </w:r>
          </w:p>
        </w:tc>
      </w:tr>
      <w:tr>
        <w:trPr>
          <w:jc w:val="center"/>
        </w:trPr>
        <w:tc>
          <w:tcPr>
            <w:tcW w:w="444" w:type="dxa"/>
            <w:noWrap w:val="0"/>
            <w:vAlign w:val="center"/>
          </w:tcPr>
          <w:p>
            <w:pPr>
              <w:pStyle w:val="2"/>
              <w:numPr>
                <w:ilvl w:val="0"/>
                <w:numId w:val="0"/>
              </w:numPr>
              <w:spacing w:before="98" w:line="240" w:lineRule="auto"/>
              <w:ind w:right="123" w:rightChars="0"/>
              <w:jc w:val="center"/>
              <w:outlineLvl w:val="9"/>
              <w:rPr>
                <w:rFonts w:hint="default" w:ascii="宋体" w:hAnsi="宋体" w:eastAsia="宋体" w:cs="宋体"/>
                <w:color w:val="auto"/>
                <w:spacing w:val="2"/>
                <w:sz w:val="24"/>
                <w:szCs w:val="24"/>
                <w:lang w:val="en-US" w:eastAsia="zh-CN"/>
              </w:rPr>
            </w:pPr>
            <w:r>
              <w:rPr>
                <w:rFonts w:hint="eastAsia" w:cs="宋体"/>
                <w:color w:val="auto"/>
                <w:spacing w:val="2"/>
                <w:sz w:val="24"/>
                <w:szCs w:val="24"/>
                <w:lang w:val="en-US" w:eastAsia="zh-CN"/>
              </w:rPr>
              <w:t>3</w:t>
            </w:r>
          </w:p>
        </w:tc>
        <w:tc>
          <w:tcPr>
            <w:tcW w:w="1845" w:type="dxa"/>
            <w:noWrap w:val="0"/>
            <w:vAlign w:val="center"/>
          </w:tcPr>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服务</w:t>
            </w:r>
            <w:r>
              <w:rPr>
                <w:rFonts w:hint="eastAsia" w:cs="宋体"/>
                <w:color w:val="auto"/>
                <w:spacing w:val="2"/>
                <w:sz w:val="24"/>
                <w:szCs w:val="24"/>
                <w:lang w:val="en-US" w:eastAsia="zh-CN"/>
              </w:rPr>
              <w:t>管理制度</w:t>
            </w:r>
          </w:p>
        </w:tc>
        <w:tc>
          <w:tcPr>
            <w:tcW w:w="6405" w:type="dxa"/>
            <w:noWrap w:val="0"/>
            <w:vAlign w:val="center"/>
          </w:tcPr>
          <w:p>
            <w:pPr>
              <w:pStyle w:val="2"/>
              <w:numPr>
                <w:ilvl w:val="0"/>
                <w:numId w:val="0"/>
              </w:numPr>
              <w:spacing w:before="98" w:line="240" w:lineRule="auto"/>
              <w:ind w:right="123" w:rightChars="0"/>
              <w:jc w:val="both"/>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优：</w:t>
            </w:r>
            <w:r>
              <w:rPr>
                <w:rFonts w:hint="eastAsia" w:cs="宋体"/>
                <w:color w:val="auto"/>
                <w:spacing w:val="2"/>
                <w:sz w:val="24"/>
                <w:szCs w:val="24"/>
                <w:lang w:val="en-US" w:eastAsia="zh-CN"/>
              </w:rPr>
              <w:t>规章管理制度完善，能够结合实际情况，针对性强</w:t>
            </w:r>
            <w:r>
              <w:rPr>
                <w:rFonts w:hint="eastAsia" w:ascii="宋体" w:hAnsi="宋体" w:eastAsia="宋体" w:cs="宋体"/>
                <w:color w:val="auto"/>
                <w:spacing w:val="2"/>
                <w:sz w:val="24"/>
                <w:szCs w:val="24"/>
                <w:lang w:val="en-US" w:eastAsia="zh-CN"/>
              </w:rPr>
              <w:t>，</w:t>
            </w:r>
            <w:r>
              <w:rPr>
                <w:rFonts w:hint="eastAsia" w:cs="宋体"/>
                <w:color w:val="auto"/>
                <w:spacing w:val="2"/>
                <w:sz w:val="24"/>
                <w:szCs w:val="24"/>
                <w:lang w:val="en-US" w:eastAsia="zh-CN"/>
              </w:rPr>
              <w:t>内容规范科学，实用有效，</w:t>
            </w:r>
            <w:r>
              <w:rPr>
                <w:rFonts w:hint="eastAsia" w:ascii="宋体" w:hAnsi="宋体" w:eastAsia="宋体" w:cs="宋体"/>
                <w:color w:val="auto"/>
                <w:spacing w:val="2"/>
                <w:sz w:val="24"/>
                <w:szCs w:val="24"/>
              </w:rPr>
              <w:t>得</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分；</w:t>
            </w:r>
            <w:bookmarkStart w:id="7" w:name="_GoBack"/>
            <w:bookmarkEnd w:id="7"/>
          </w:p>
          <w:p>
            <w:pPr>
              <w:pStyle w:val="2"/>
              <w:numPr>
                <w:ilvl w:val="0"/>
                <w:numId w:val="0"/>
              </w:numPr>
              <w:spacing w:before="98" w:line="240" w:lineRule="auto"/>
              <w:ind w:right="123" w:rightChars="0"/>
              <w:jc w:val="both"/>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良：</w:t>
            </w:r>
            <w:r>
              <w:rPr>
                <w:rFonts w:hint="eastAsia" w:cs="宋体"/>
                <w:color w:val="auto"/>
                <w:spacing w:val="2"/>
                <w:sz w:val="24"/>
                <w:szCs w:val="24"/>
                <w:lang w:val="en-US" w:eastAsia="zh-CN"/>
              </w:rPr>
              <w:t>规章管理制度较完善、针对性较强</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得</w:t>
            </w: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rPr>
              <w:t>分；</w:t>
            </w:r>
          </w:p>
          <w:p>
            <w:pPr>
              <w:pStyle w:val="2"/>
              <w:numPr>
                <w:ilvl w:val="0"/>
                <w:numId w:val="0"/>
              </w:numPr>
              <w:spacing w:before="98" w:line="240" w:lineRule="auto"/>
              <w:ind w:right="123" w:rightChars="0"/>
              <w:jc w:val="both"/>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差：</w:t>
            </w:r>
            <w:r>
              <w:rPr>
                <w:rFonts w:hint="eastAsia" w:cs="宋体"/>
                <w:color w:val="auto"/>
                <w:spacing w:val="2"/>
                <w:sz w:val="24"/>
                <w:szCs w:val="24"/>
                <w:lang w:val="en-US" w:eastAsia="zh-CN"/>
              </w:rPr>
              <w:t>具有规章管理制度、无针对性，</w:t>
            </w:r>
            <w:r>
              <w:rPr>
                <w:rFonts w:hint="eastAsia" w:ascii="宋体" w:hAnsi="宋体" w:eastAsia="宋体" w:cs="宋体"/>
                <w:color w:val="auto"/>
                <w:spacing w:val="2"/>
                <w:sz w:val="24"/>
                <w:szCs w:val="24"/>
              </w:rPr>
              <w:t>得</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rPr>
              <w:t>分；。</w:t>
            </w:r>
          </w:p>
        </w:tc>
        <w:tc>
          <w:tcPr>
            <w:tcW w:w="594" w:type="dxa"/>
            <w:noWrap w:val="0"/>
            <w:vAlign w:val="center"/>
          </w:tcPr>
          <w:p>
            <w:pPr>
              <w:pStyle w:val="2"/>
              <w:numPr>
                <w:ilvl w:val="0"/>
                <w:numId w:val="0"/>
              </w:numPr>
              <w:spacing w:before="98" w:line="240" w:lineRule="auto"/>
              <w:ind w:right="123" w:rightChars="0"/>
              <w:jc w:val="center"/>
              <w:outlineLvl w:val="9"/>
              <w:rPr>
                <w:rFonts w:hint="default" w:ascii="宋体" w:hAnsi="宋体" w:eastAsia="宋体" w:cs="宋体"/>
                <w:color w:val="auto"/>
                <w:spacing w:val="2"/>
                <w:sz w:val="24"/>
                <w:szCs w:val="24"/>
                <w:lang w:val="en-US" w:eastAsia="zh-CN"/>
              </w:rPr>
            </w:pPr>
            <w:r>
              <w:rPr>
                <w:rFonts w:hint="eastAsia" w:cs="宋体"/>
                <w:color w:val="auto"/>
                <w:spacing w:val="2"/>
                <w:sz w:val="24"/>
                <w:szCs w:val="24"/>
                <w:lang w:val="en-US" w:eastAsia="zh-CN"/>
              </w:rPr>
              <w:t>10</w:t>
            </w:r>
            <w:r>
              <w:rPr>
                <w:rFonts w:hint="eastAsia" w:ascii="宋体" w:hAnsi="宋体" w:eastAsia="宋体" w:cs="宋体"/>
                <w:color w:val="auto"/>
                <w:spacing w:val="2"/>
                <w:sz w:val="24"/>
                <w:szCs w:val="24"/>
                <w:lang w:val="en-US" w:eastAsia="zh-CN"/>
              </w:rPr>
              <w:t>分</w:t>
            </w:r>
          </w:p>
        </w:tc>
      </w:tr>
    </w:tbl>
    <w:p>
      <w:pPr>
        <w:tabs>
          <w:tab w:val="left" w:pos="1306"/>
        </w:tabs>
        <w:spacing w:before="94" w:line="240" w:lineRule="auto"/>
        <w:ind w:left="21" w:right="0"/>
        <w:jc w:val="center"/>
        <w:outlineLvl w:val="9"/>
        <w:rPr>
          <w:rFonts w:hint="default" w:ascii="宋体" w:hAnsi="宋体" w:eastAsia="宋体" w:cs="宋体"/>
          <w:b/>
          <w:bCs/>
          <w:i w:val="0"/>
          <w:iCs w:val="0"/>
          <w:color w:val="auto"/>
          <w:kern w:val="2"/>
          <w:sz w:val="24"/>
          <w:szCs w:val="24"/>
          <w:u w:val="none"/>
          <w:lang w:val="en-US" w:eastAsia="zh-CN" w:bidi="ar-SA"/>
        </w:rPr>
      </w:pPr>
    </w:p>
    <w:p>
      <w:pPr>
        <w:rPr>
          <w:rFonts w:hint="eastAsia" w:ascii="宋体" w:hAnsi="宋体" w:eastAsia="宋体" w:cs="Times New Roman"/>
          <w:b/>
          <w:bCs/>
          <w:color w:val="auto"/>
          <w:sz w:val="24"/>
          <w:szCs w:val="24"/>
          <w:lang w:val="en-US" w:eastAsia="zh-CN"/>
        </w:rPr>
      </w:pPr>
      <w:bookmarkStart w:id="6" w:name="_Toc2410"/>
    </w:p>
    <w:p>
      <w:pPr>
        <w:spacing w:line="720" w:lineRule="auto"/>
        <w:jc w:val="center"/>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附表</w:t>
      </w:r>
      <w:r>
        <w:rPr>
          <w:rFonts w:hint="eastAsia" w:ascii="宋体" w:hAnsi="宋体" w:cs="Times New Roman"/>
          <w:b/>
          <w:bCs/>
          <w:color w:val="auto"/>
          <w:sz w:val="24"/>
          <w:szCs w:val="24"/>
          <w:lang w:val="en-US" w:eastAsia="zh-CN"/>
        </w:rPr>
        <w:t>3</w:t>
      </w:r>
      <w:r>
        <w:rPr>
          <w:rFonts w:hint="eastAsia" w:ascii="宋体" w:hAnsi="宋体" w:eastAsia="宋体" w:cs="Times New Roman"/>
          <w:b/>
          <w:bCs/>
          <w:color w:val="auto"/>
          <w:sz w:val="24"/>
          <w:szCs w:val="24"/>
          <w:lang w:val="en-US" w:eastAsia="zh-CN"/>
        </w:rPr>
        <w:t xml:space="preserve">   商务评分表（</w:t>
      </w:r>
      <w:r>
        <w:rPr>
          <w:rFonts w:hint="eastAsia" w:ascii="宋体" w:hAnsi="宋体" w:cs="Times New Roman"/>
          <w:b/>
          <w:bCs/>
          <w:color w:val="auto"/>
          <w:sz w:val="24"/>
          <w:szCs w:val="24"/>
          <w:lang w:val="en-US" w:eastAsia="zh-CN"/>
        </w:rPr>
        <w:t>25</w:t>
      </w:r>
      <w:r>
        <w:rPr>
          <w:rFonts w:hint="eastAsia" w:ascii="宋体" w:hAnsi="宋体" w:eastAsia="宋体" w:cs="Times New Roman"/>
          <w:b/>
          <w:bCs/>
          <w:color w:val="auto"/>
          <w:sz w:val="24"/>
          <w:szCs w:val="24"/>
          <w:lang w:val="en-US" w:eastAsia="zh-CN"/>
        </w:rPr>
        <w:t>分）</w:t>
      </w:r>
      <w:bookmarkEnd w:id="6"/>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846"/>
        <w:gridCol w:w="6404"/>
        <w:gridCol w:w="594"/>
      </w:tblGrid>
      <w:tr>
        <w:trPr>
          <w:tblHeader/>
          <w:jc w:val="center"/>
        </w:trPr>
        <w:tc>
          <w:tcPr>
            <w:tcW w:w="444"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序号</w:t>
            </w:r>
          </w:p>
        </w:tc>
        <w:tc>
          <w:tcPr>
            <w:tcW w:w="1846"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评审分项</w:t>
            </w:r>
          </w:p>
        </w:tc>
        <w:tc>
          <w:tcPr>
            <w:tcW w:w="6404"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评审指标</w:t>
            </w:r>
          </w:p>
        </w:tc>
        <w:tc>
          <w:tcPr>
            <w:tcW w:w="594" w:type="dxa"/>
            <w:noWrap w:val="0"/>
            <w:vAlign w:val="center"/>
          </w:tcPr>
          <w:p>
            <w:pPr>
              <w:pStyle w:val="2"/>
              <w:numPr>
                <w:ilvl w:val="0"/>
                <w:numId w:val="0"/>
              </w:numPr>
              <w:spacing w:before="98" w:line="360" w:lineRule="auto"/>
              <w:ind w:right="123" w:rightChars="0"/>
              <w:jc w:val="center"/>
              <w:outlineLvl w:val="9"/>
              <w:rPr>
                <w:rFonts w:hint="default" w:cs="宋体"/>
                <w:b/>
                <w:bCs/>
                <w:i w:val="0"/>
                <w:iCs w:val="0"/>
                <w:color w:val="auto"/>
                <w:sz w:val="24"/>
                <w:szCs w:val="24"/>
                <w:u w:val="none"/>
                <w:vertAlign w:val="baseline"/>
                <w:lang w:val="en-US" w:eastAsia="zh-CN"/>
              </w:rPr>
            </w:pPr>
            <w:r>
              <w:rPr>
                <w:rFonts w:hint="eastAsia" w:cs="宋体"/>
                <w:b/>
                <w:bCs/>
                <w:i w:val="0"/>
                <w:iCs w:val="0"/>
                <w:color w:val="auto"/>
                <w:sz w:val="24"/>
                <w:szCs w:val="24"/>
                <w:u w:val="none"/>
                <w:vertAlign w:val="baseline"/>
                <w:lang w:val="en-US" w:eastAsia="zh-CN"/>
              </w:rPr>
              <w:t>分值</w:t>
            </w:r>
          </w:p>
        </w:tc>
      </w:tr>
      <w:tr>
        <w:trPr>
          <w:jc w:val="center"/>
        </w:trPr>
        <w:tc>
          <w:tcPr>
            <w:tcW w:w="444" w:type="dxa"/>
            <w:noWrap w:val="0"/>
            <w:vAlign w:val="center"/>
          </w:tcPr>
          <w:p>
            <w:pPr>
              <w:pStyle w:val="2"/>
              <w:numPr>
                <w:ilvl w:val="0"/>
                <w:numId w:val="0"/>
              </w:numPr>
              <w:spacing w:before="98" w:line="360" w:lineRule="auto"/>
              <w:ind w:right="123" w:rightChars="0"/>
              <w:jc w:val="center"/>
              <w:outlineLvl w:val="9"/>
              <w:rPr>
                <w:rFonts w:hint="default" w:cs="宋体"/>
                <w:b w:val="0"/>
                <w:bCs w:val="0"/>
                <w:i w:val="0"/>
                <w:iCs w:val="0"/>
                <w:color w:val="auto"/>
                <w:sz w:val="24"/>
                <w:szCs w:val="24"/>
                <w:u w:val="none"/>
                <w:vertAlign w:val="baseline"/>
                <w:lang w:val="en-US" w:eastAsia="zh-CN"/>
              </w:rPr>
            </w:pPr>
            <w:r>
              <w:rPr>
                <w:rFonts w:hint="eastAsia" w:cs="宋体"/>
                <w:b w:val="0"/>
                <w:bCs w:val="0"/>
                <w:i w:val="0"/>
                <w:iCs w:val="0"/>
                <w:color w:val="auto"/>
                <w:sz w:val="24"/>
                <w:szCs w:val="24"/>
                <w:u w:val="none"/>
                <w:vertAlign w:val="baseline"/>
                <w:lang w:val="en-US" w:eastAsia="zh-CN"/>
              </w:rPr>
              <w:t>1</w:t>
            </w:r>
          </w:p>
        </w:tc>
        <w:tc>
          <w:tcPr>
            <w:tcW w:w="1846" w:type="dxa"/>
            <w:noWrap w:val="0"/>
            <w:vAlign w:val="center"/>
          </w:tcPr>
          <w:p>
            <w:pPr>
              <w:pStyle w:val="2"/>
              <w:numPr>
                <w:ilvl w:val="0"/>
                <w:numId w:val="0"/>
              </w:numPr>
              <w:spacing w:before="98" w:line="360" w:lineRule="auto"/>
              <w:ind w:right="123" w:rightChars="0"/>
              <w:jc w:val="left"/>
              <w:outlineLvl w:val="9"/>
              <w:rPr>
                <w:rFonts w:hint="eastAsia"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zh-TW" w:eastAsia="zh-CN"/>
              </w:rPr>
              <w:t>同类项目业绩</w:t>
            </w:r>
          </w:p>
        </w:tc>
        <w:tc>
          <w:tcPr>
            <w:tcW w:w="6404" w:type="dxa"/>
            <w:noWrap w:val="0"/>
            <w:vAlign w:val="center"/>
          </w:tcPr>
          <w:p>
            <w:pPr>
              <w:pStyle w:val="2"/>
              <w:numPr>
                <w:ilvl w:val="0"/>
                <w:numId w:val="0"/>
              </w:numPr>
              <w:spacing w:before="98" w:line="240" w:lineRule="auto"/>
              <w:ind w:right="123" w:rightChars="0"/>
              <w:jc w:val="both"/>
              <w:outlineLvl w:val="9"/>
              <w:rPr>
                <w:rFonts w:hint="default" w:ascii="宋体" w:hAnsi="宋体" w:eastAsia="宋体" w:cs="宋体"/>
                <w:color w:val="auto"/>
                <w:sz w:val="24"/>
                <w:szCs w:val="24"/>
                <w:lang w:val="en-US" w:eastAsia="zh-CN"/>
              </w:rPr>
            </w:pPr>
            <w:r>
              <w:rPr>
                <w:rFonts w:hint="eastAsia" w:cs="宋体"/>
                <w:color w:val="auto"/>
                <w:sz w:val="24"/>
                <w:szCs w:val="24"/>
                <w:lang w:val="en-US" w:eastAsia="zh-CN"/>
              </w:rPr>
              <w:t>根据供应商提供的近三年类似业绩（至少同时含绿化养护服务）进行打分，每个5分，最高15分（以合同为准，需提供合同扫描件并加盖公章，需包括合同首页，合同详细标的和双方签章及生效时间）。</w:t>
            </w:r>
          </w:p>
        </w:tc>
        <w:tc>
          <w:tcPr>
            <w:tcW w:w="594" w:type="dxa"/>
            <w:noWrap w:val="0"/>
            <w:vAlign w:val="center"/>
          </w:tcPr>
          <w:p>
            <w:pPr>
              <w:pStyle w:val="2"/>
              <w:numPr>
                <w:ilvl w:val="0"/>
                <w:numId w:val="0"/>
              </w:numPr>
              <w:spacing w:before="98" w:line="240" w:lineRule="auto"/>
              <w:ind w:right="123" w:rightChars="0"/>
              <w:jc w:val="center"/>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分</w:t>
            </w:r>
          </w:p>
        </w:tc>
      </w:tr>
      <w:tr>
        <w:trPr>
          <w:jc w:val="center"/>
        </w:trPr>
        <w:tc>
          <w:tcPr>
            <w:tcW w:w="444" w:type="dxa"/>
            <w:noWrap w:val="0"/>
            <w:vAlign w:val="center"/>
          </w:tcPr>
          <w:p>
            <w:pPr>
              <w:pStyle w:val="2"/>
              <w:numPr>
                <w:ilvl w:val="0"/>
                <w:numId w:val="0"/>
              </w:numPr>
              <w:spacing w:before="98" w:line="360" w:lineRule="auto"/>
              <w:ind w:right="123" w:rightChars="0"/>
              <w:jc w:val="center"/>
              <w:outlineLvl w:val="9"/>
              <w:rPr>
                <w:rFonts w:hint="default" w:cs="宋体"/>
                <w:b w:val="0"/>
                <w:bCs w:val="0"/>
                <w:i w:val="0"/>
                <w:iCs w:val="0"/>
                <w:color w:val="auto"/>
                <w:sz w:val="24"/>
                <w:szCs w:val="24"/>
                <w:u w:val="none"/>
                <w:vertAlign w:val="baseline"/>
                <w:lang w:val="en-US" w:eastAsia="zh-CN"/>
              </w:rPr>
            </w:pPr>
            <w:r>
              <w:rPr>
                <w:rFonts w:hint="eastAsia" w:cs="宋体"/>
                <w:b w:val="0"/>
                <w:bCs w:val="0"/>
                <w:i w:val="0"/>
                <w:iCs w:val="0"/>
                <w:color w:val="auto"/>
                <w:sz w:val="24"/>
                <w:szCs w:val="24"/>
                <w:u w:val="none"/>
                <w:vertAlign w:val="baseline"/>
                <w:lang w:val="en-US" w:eastAsia="zh-CN"/>
              </w:rPr>
              <w:t>2</w:t>
            </w:r>
          </w:p>
        </w:tc>
        <w:tc>
          <w:tcPr>
            <w:tcW w:w="1846" w:type="dxa"/>
            <w:noWrap w:val="0"/>
            <w:vAlign w:val="center"/>
          </w:tcPr>
          <w:p>
            <w:pPr>
              <w:pStyle w:val="2"/>
              <w:numPr>
                <w:ilvl w:val="0"/>
                <w:numId w:val="0"/>
              </w:numPr>
              <w:spacing w:before="98" w:line="360" w:lineRule="auto"/>
              <w:ind w:right="123" w:rightChars="0"/>
              <w:jc w:val="left"/>
              <w:outlineLvl w:val="9"/>
              <w:rPr>
                <w:rFonts w:hint="default" w:cs="宋体"/>
                <w:b w:val="0"/>
                <w:bCs w:val="0"/>
                <w:i w:val="0"/>
                <w:iCs w:val="0"/>
                <w:color w:val="auto"/>
                <w:sz w:val="24"/>
                <w:szCs w:val="24"/>
                <w:u w:val="none"/>
                <w:vertAlign w:val="baseline"/>
                <w:lang w:val="en-US" w:eastAsia="zh-CN"/>
              </w:rPr>
            </w:pPr>
            <w:r>
              <w:rPr>
                <w:rFonts w:hint="eastAsia" w:cs="宋体"/>
                <w:b w:val="0"/>
                <w:bCs w:val="0"/>
                <w:i w:val="0"/>
                <w:iCs w:val="0"/>
                <w:color w:val="auto"/>
                <w:sz w:val="24"/>
                <w:szCs w:val="24"/>
                <w:u w:val="none"/>
                <w:vertAlign w:val="baseline"/>
                <w:lang w:val="en-US" w:eastAsia="zh-CN"/>
              </w:rPr>
              <w:t>拟投入项目服务人员情况</w:t>
            </w:r>
          </w:p>
        </w:tc>
        <w:tc>
          <w:tcPr>
            <w:tcW w:w="6404" w:type="dxa"/>
            <w:noWrap w:val="0"/>
            <w:vAlign w:val="center"/>
          </w:tcPr>
          <w:p>
            <w:pPr>
              <w:pStyle w:val="2"/>
              <w:numPr>
                <w:ilvl w:val="0"/>
                <w:numId w:val="0"/>
              </w:numPr>
              <w:spacing w:before="98" w:line="240" w:lineRule="auto"/>
              <w:ind w:right="123" w:rightChars="0"/>
              <w:jc w:val="both"/>
              <w:outlineLvl w:val="9"/>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项目负责人：具有园林绿化相关专业中级及以上专业技术职称，得2分；以项目负责人身份承担过类似项目业绩，每项得1分，最高得3分。</w:t>
            </w:r>
          </w:p>
          <w:p>
            <w:pPr>
              <w:pStyle w:val="2"/>
              <w:numPr>
                <w:ilvl w:val="0"/>
                <w:numId w:val="0"/>
              </w:numPr>
              <w:spacing w:before="98" w:line="240" w:lineRule="auto"/>
              <w:ind w:right="123" w:rightChars="0"/>
              <w:jc w:val="both"/>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综合实力：综合考虑供应商技术状况、履约能力、财务报表等，最优可得5分，良好得2分。</w:t>
            </w:r>
          </w:p>
        </w:tc>
        <w:tc>
          <w:tcPr>
            <w:tcW w:w="594" w:type="dxa"/>
            <w:noWrap w:val="0"/>
            <w:vAlign w:val="center"/>
          </w:tcPr>
          <w:p>
            <w:pPr>
              <w:pStyle w:val="2"/>
              <w:numPr>
                <w:ilvl w:val="0"/>
                <w:numId w:val="0"/>
              </w:numPr>
              <w:spacing w:before="98" w:line="240" w:lineRule="auto"/>
              <w:ind w:right="123" w:rightChars="0"/>
              <w:jc w:val="center"/>
              <w:outlineLvl w:val="9"/>
              <w:rPr>
                <w:rFonts w:hint="default" w:ascii="宋体" w:hAnsi="宋体" w:eastAsia="宋体" w:cs="宋体"/>
                <w:color w:val="auto"/>
                <w:sz w:val="24"/>
                <w:szCs w:val="24"/>
                <w:lang w:val="en-US" w:eastAsia="zh-CN"/>
              </w:rPr>
            </w:pP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tc>
      </w:tr>
    </w:tbl>
    <w:p>
      <w:pPr>
        <w:tabs>
          <w:tab w:val="left" w:pos="1306"/>
        </w:tabs>
        <w:spacing w:before="94" w:line="240" w:lineRule="auto"/>
        <w:ind w:left="21" w:right="0"/>
        <w:jc w:val="center"/>
        <w:outlineLvl w:val="9"/>
        <w:rPr>
          <w:rFonts w:hint="eastAsia" w:ascii="宋体" w:hAnsi="宋体" w:eastAsia="宋体" w:cs="Times New Roman"/>
          <w:b/>
          <w:bCs/>
          <w:color w:val="auto"/>
          <w:sz w:val="24"/>
          <w:szCs w:val="24"/>
          <w:lang w:val="en-US" w:eastAsia="zh-CN"/>
        </w:rPr>
      </w:pPr>
    </w:p>
    <w:p>
      <w:pPr>
        <w:tabs>
          <w:tab w:val="left" w:pos="1306"/>
        </w:tabs>
        <w:spacing w:before="94" w:line="720" w:lineRule="auto"/>
        <w:ind w:left="21" w:right="0"/>
        <w:jc w:val="center"/>
        <w:outlineLvl w:val="9"/>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附表</w:t>
      </w:r>
      <w:r>
        <w:rPr>
          <w:rFonts w:hint="eastAsia" w:ascii="宋体" w:hAnsi="宋体" w:cs="Times New Roman"/>
          <w:b/>
          <w:bCs/>
          <w:color w:val="auto"/>
          <w:sz w:val="24"/>
          <w:szCs w:val="24"/>
          <w:lang w:val="en-US" w:eastAsia="zh-CN"/>
        </w:rPr>
        <w:t>4</w:t>
      </w:r>
      <w:r>
        <w:rPr>
          <w:rFonts w:hint="eastAsia" w:ascii="宋体" w:hAnsi="宋体" w:eastAsia="宋体" w:cs="Times New Roman"/>
          <w:b/>
          <w:bCs/>
          <w:color w:val="auto"/>
          <w:sz w:val="24"/>
          <w:szCs w:val="24"/>
          <w:lang w:val="en-US" w:eastAsia="zh-CN"/>
        </w:rPr>
        <w:t xml:space="preserve">   价格评分表（</w:t>
      </w:r>
      <w:r>
        <w:rPr>
          <w:rFonts w:hint="eastAsia" w:ascii="宋体" w:hAnsi="宋体" w:cs="Times New Roman"/>
          <w:b/>
          <w:bCs/>
          <w:color w:val="auto"/>
          <w:sz w:val="24"/>
          <w:szCs w:val="24"/>
          <w:lang w:val="en-US" w:eastAsia="zh-CN"/>
        </w:rPr>
        <w:t>3</w:t>
      </w:r>
      <w:r>
        <w:rPr>
          <w:rFonts w:hint="eastAsia" w:ascii="宋体" w:hAnsi="宋体" w:eastAsia="宋体" w:cs="Times New Roman"/>
          <w:b/>
          <w:bCs/>
          <w:color w:val="auto"/>
          <w:sz w:val="24"/>
          <w:szCs w:val="24"/>
          <w:lang w:val="en-US" w:eastAsia="zh-CN"/>
        </w:rPr>
        <w:t>0分）</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0"/>
        <w:gridCol w:w="6998"/>
      </w:tblGrid>
      <w:tr>
        <w:trPr>
          <w:trHeight w:val="621" w:hRule="atLeast"/>
          <w:jc w:val="center"/>
        </w:trPr>
        <w:tc>
          <w:tcPr>
            <w:tcW w:w="2290" w:type="dxa"/>
            <w:noWrap w:val="0"/>
            <w:vAlign w:val="center"/>
          </w:tcPr>
          <w:p>
            <w:pPr>
              <w:tabs>
                <w:tab w:val="left" w:pos="1306"/>
              </w:tabs>
              <w:spacing w:before="94" w:line="240" w:lineRule="auto"/>
              <w:ind w:right="0"/>
              <w:jc w:val="center"/>
              <w:outlineLvl w:val="9"/>
              <w:rPr>
                <w:rFonts w:hint="default" w:ascii="宋体" w:hAnsi="宋体" w:eastAsia="宋体" w:cs="宋体"/>
                <w:b/>
                <w:bCs/>
                <w:i w:val="0"/>
                <w:iCs w:val="0"/>
                <w:color w:val="auto"/>
                <w:kern w:val="2"/>
                <w:sz w:val="24"/>
                <w:szCs w:val="24"/>
                <w:u w:val="none"/>
                <w:vertAlign w:val="baseline"/>
                <w:lang w:val="en-US" w:eastAsia="zh-CN" w:bidi="ar-SA"/>
              </w:rPr>
            </w:pPr>
            <w:r>
              <w:rPr>
                <w:rFonts w:hint="eastAsia" w:ascii="宋体" w:hAnsi="宋体" w:cs="宋体"/>
                <w:b/>
                <w:bCs/>
                <w:i w:val="0"/>
                <w:iCs w:val="0"/>
                <w:color w:val="auto"/>
                <w:kern w:val="2"/>
                <w:sz w:val="24"/>
                <w:szCs w:val="24"/>
                <w:u w:val="none"/>
                <w:vertAlign w:val="baseline"/>
                <w:lang w:val="en-US" w:eastAsia="zh-CN" w:bidi="ar-SA"/>
              </w:rPr>
              <w:t>评分项目</w:t>
            </w:r>
          </w:p>
        </w:tc>
        <w:tc>
          <w:tcPr>
            <w:tcW w:w="6998" w:type="dxa"/>
            <w:noWrap w:val="0"/>
            <w:vAlign w:val="center"/>
          </w:tcPr>
          <w:p>
            <w:pPr>
              <w:tabs>
                <w:tab w:val="left" w:pos="1306"/>
              </w:tabs>
              <w:spacing w:before="94" w:line="240" w:lineRule="auto"/>
              <w:ind w:right="0"/>
              <w:jc w:val="center"/>
              <w:outlineLvl w:val="9"/>
              <w:rPr>
                <w:rFonts w:hint="default" w:ascii="宋体" w:hAnsi="宋体" w:eastAsia="宋体" w:cs="宋体"/>
                <w:b/>
                <w:bCs/>
                <w:i w:val="0"/>
                <w:iCs w:val="0"/>
                <w:color w:val="auto"/>
                <w:kern w:val="2"/>
                <w:sz w:val="24"/>
                <w:szCs w:val="24"/>
                <w:u w:val="none"/>
                <w:vertAlign w:val="baseline"/>
                <w:lang w:val="en-US" w:eastAsia="zh-CN" w:bidi="ar-SA"/>
              </w:rPr>
            </w:pPr>
            <w:r>
              <w:rPr>
                <w:rFonts w:hint="eastAsia" w:ascii="宋体" w:hAnsi="宋体" w:cs="宋体"/>
                <w:b/>
                <w:bCs/>
                <w:i w:val="0"/>
                <w:iCs w:val="0"/>
                <w:color w:val="auto"/>
                <w:kern w:val="2"/>
                <w:sz w:val="24"/>
                <w:szCs w:val="24"/>
                <w:u w:val="none"/>
                <w:vertAlign w:val="baseline"/>
                <w:lang w:val="en-US" w:eastAsia="zh-CN" w:bidi="ar-SA"/>
              </w:rPr>
              <w:t>评分标准</w:t>
            </w:r>
          </w:p>
        </w:tc>
      </w:tr>
      <w:tr>
        <w:trPr>
          <w:trHeight w:val="626" w:hRule="atLeast"/>
          <w:jc w:val="center"/>
        </w:trPr>
        <w:tc>
          <w:tcPr>
            <w:tcW w:w="2290" w:type="dxa"/>
            <w:noWrap w:val="0"/>
            <w:vAlign w:val="center"/>
          </w:tcPr>
          <w:p>
            <w:pPr>
              <w:tabs>
                <w:tab w:val="left" w:pos="1306"/>
              </w:tabs>
              <w:spacing w:before="94" w:line="240" w:lineRule="auto"/>
              <w:ind w:right="0"/>
              <w:jc w:val="center"/>
              <w:outlineLvl w:val="9"/>
              <w:rPr>
                <w:rFonts w:hint="default" w:ascii="宋体" w:hAnsi="宋体" w:eastAsia="宋体" w:cs="宋体"/>
                <w:b w:val="0"/>
                <w:bCs w:val="0"/>
                <w:i w:val="0"/>
                <w:iCs w:val="0"/>
                <w:color w:val="auto"/>
                <w:kern w:val="2"/>
                <w:sz w:val="24"/>
                <w:szCs w:val="24"/>
                <w:u w:val="none"/>
                <w:vertAlign w:val="baseline"/>
                <w:lang w:val="en-US" w:eastAsia="zh-CN" w:bidi="ar-SA"/>
              </w:rPr>
            </w:pPr>
            <w:r>
              <w:rPr>
                <w:rFonts w:hint="eastAsia" w:ascii="宋体" w:hAnsi="宋体" w:cs="宋体"/>
                <w:b w:val="0"/>
                <w:bCs w:val="0"/>
                <w:i w:val="0"/>
                <w:iCs w:val="0"/>
                <w:color w:val="auto"/>
                <w:kern w:val="2"/>
                <w:sz w:val="24"/>
                <w:szCs w:val="24"/>
                <w:u w:val="none"/>
                <w:vertAlign w:val="baseline"/>
                <w:lang w:val="en-US" w:eastAsia="zh-CN" w:bidi="ar-SA"/>
              </w:rPr>
              <w:t>最后总报价</w:t>
            </w:r>
          </w:p>
        </w:tc>
        <w:tc>
          <w:tcPr>
            <w:tcW w:w="6998" w:type="dxa"/>
            <w:noWrap w:val="0"/>
            <w:vAlign w:val="center"/>
          </w:tcPr>
          <w:p>
            <w:pPr>
              <w:tabs>
                <w:tab w:val="left" w:pos="1306"/>
              </w:tabs>
              <w:spacing w:before="94" w:line="240" w:lineRule="auto"/>
              <w:ind w:right="0"/>
              <w:jc w:val="center"/>
              <w:outlineLvl w:val="9"/>
              <w:rPr>
                <w:rFonts w:hint="default" w:ascii="宋体" w:hAnsi="宋体" w:eastAsia="宋体" w:cs="宋体"/>
                <w:b w:val="0"/>
                <w:bCs w:val="0"/>
                <w:i w:val="0"/>
                <w:iCs w:val="0"/>
                <w:color w:val="auto"/>
                <w:kern w:val="2"/>
                <w:sz w:val="24"/>
                <w:szCs w:val="24"/>
                <w:u w:val="none"/>
                <w:vertAlign w:val="baseline"/>
                <w:lang w:val="en-US" w:eastAsia="zh-CN" w:bidi="ar-SA"/>
              </w:rPr>
            </w:pPr>
            <w:r>
              <w:rPr>
                <w:rFonts w:hint="eastAsia" w:ascii="宋体" w:hAnsi="宋体" w:cs="宋体"/>
                <w:b w:val="0"/>
                <w:bCs w:val="0"/>
                <w:i w:val="0"/>
                <w:iCs w:val="0"/>
                <w:color w:val="auto"/>
                <w:kern w:val="2"/>
                <w:sz w:val="24"/>
                <w:szCs w:val="24"/>
                <w:u w:val="none"/>
                <w:vertAlign w:val="baseline"/>
                <w:lang w:val="en-US" w:eastAsia="zh-CN" w:bidi="ar-SA"/>
              </w:rPr>
              <w:t>最后报价得分=（评标基准价/最后报价）</w:t>
            </w:r>
            <w:r>
              <w:rPr>
                <w:rFonts w:hint="default" w:ascii="Arial" w:hAnsi="Arial" w:cs="Arial"/>
                <w:b w:val="0"/>
                <w:bCs w:val="0"/>
                <w:i w:val="0"/>
                <w:iCs w:val="0"/>
                <w:color w:val="auto"/>
                <w:kern w:val="2"/>
                <w:sz w:val="24"/>
                <w:szCs w:val="24"/>
                <w:u w:val="none"/>
                <w:vertAlign w:val="baseline"/>
                <w:lang w:val="en-US" w:eastAsia="zh-CN" w:bidi="ar-SA"/>
              </w:rPr>
              <w:t>×</w:t>
            </w:r>
            <w:r>
              <w:rPr>
                <w:rFonts w:hint="eastAsia" w:ascii="宋体" w:hAnsi="宋体" w:cs="宋体"/>
                <w:b w:val="0"/>
                <w:bCs w:val="0"/>
                <w:i w:val="0"/>
                <w:iCs w:val="0"/>
                <w:color w:val="auto"/>
                <w:kern w:val="2"/>
                <w:sz w:val="24"/>
                <w:szCs w:val="24"/>
                <w:u w:val="none"/>
                <w:vertAlign w:val="baseline"/>
                <w:lang w:val="en-US" w:eastAsia="zh-CN" w:bidi="ar-SA"/>
              </w:rPr>
              <w:t>30</w:t>
            </w:r>
          </w:p>
        </w:tc>
      </w:tr>
    </w:tbl>
    <w:p>
      <w:pPr>
        <w:tabs>
          <w:tab w:val="left" w:pos="1306"/>
        </w:tabs>
        <w:spacing w:before="94" w:line="240" w:lineRule="auto"/>
        <w:ind w:left="21" w:right="0"/>
        <w:jc w:val="center"/>
        <w:outlineLvl w:val="9"/>
        <w:rPr>
          <w:rFonts w:hint="eastAsia" w:ascii="宋体" w:hAnsi="宋体" w:eastAsia="宋体" w:cs="Times New Roman"/>
          <w:b/>
          <w:bCs/>
          <w:color w:val="auto"/>
          <w:sz w:val="24"/>
          <w:szCs w:val="24"/>
          <w:lang w:val="en-US" w:eastAsia="zh-CN"/>
        </w:rPr>
      </w:pPr>
    </w:p>
    <w:p/>
    <w:sectPr>
      <w:headerReference r:id="rId3" w:type="default"/>
      <w:footerReference r:id="rId4" w:type="default"/>
      <w:pgSz w:w="11906" w:h="16838"/>
      <w:pgMar w:top="1134" w:right="1800" w:bottom="1134"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关于公开征集遴选开平市中心医院2024</w:t>
    </w:r>
    <w:r>
      <w:rPr>
        <w:rFonts w:hint="eastAsia" w:asciiTheme="minorEastAsia" w:hAnsiTheme="minorEastAsia" w:eastAsiaTheme="minorEastAsia" w:cstheme="minorEastAsia"/>
        <w:b w:val="0"/>
        <w:bCs w:val="0"/>
        <w:color w:val="auto"/>
        <w:sz w:val="20"/>
        <w:szCs w:val="20"/>
        <w:lang w:val="en-US" w:eastAsia="zh-CN"/>
      </w:rPr>
      <w:t>-2025</w:t>
    </w:r>
    <w:r>
      <w:rPr>
        <w:rFonts w:hint="eastAsia" w:asciiTheme="minorEastAsia" w:hAnsiTheme="minorEastAsia" w:eastAsiaTheme="minorEastAsia" w:cstheme="minorEastAsia"/>
        <w:b w:val="0"/>
        <w:bCs w:val="0"/>
        <w:color w:val="auto"/>
        <w:sz w:val="20"/>
        <w:szCs w:val="20"/>
      </w:rPr>
      <w:t>年</w:t>
    </w:r>
    <w:r>
      <w:rPr>
        <w:rFonts w:hint="eastAsia" w:asciiTheme="minorEastAsia" w:hAnsiTheme="minorEastAsia" w:eastAsiaTheme="minorEastAsia" w:cstheme="minorEastAsia"/>
        <w:b w:val="0"/>
        <w:bCs w:val="0"/>
        <w:color w:val="auto"/>
        <w:sz w:val="20"/>
        <w:szCs w:val="20"/>
        <w:lang w:val="en-US" w:eastAsia="zh-CN"/>
      </w:rPr>
      <w:t>度绿化养护服务供应商</w:t>
    </w:r>
    <w:r>
      <w:rPr>
        <w:rFonts w:hint="eastAsia" w:asciiTheme="minorEastAsia" w:hAnsiTheme="minorEastAsia" w:eastAsiaTheme="minorEastAsia" w:cstheme="minorEastAsia"/>
        <w:b w:val="0"/>
        <w:bCs w:val="0"/>
        <w:color w:val="auto"/>
        <w:sz w:val="20"/>
        <w:szCs w:val="20"/>
      </w:rPr>
      <w:t>项目</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B11DD"/>
    <w:rsid w:val="3E9EB7CE"/>
    <w:rsid w:val="52DEAD21"/>
    <w:rsid w:val="7731AAA8"/>
    <w:rsid w:val="7CA91D85"/>
    <w:rsid w:val="8AFE3CD0"/>
    <w:rsid w:val="CEEF80F9"/>
    <w:rsid w:val="EBAACFA3"/>
    <w:rsid w:val="EF7BB4B7"/>
    <w:rsid w:val="EF9EDD9A"/>
    <w:rsid w:val="F3F183E0"/>
    <w:rsid w:val="F7DB1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3"/>
    </w:pPr>
    <w:rPr>
      <w:rFonts w:ascii="宋体" w:hAnsi="宋体" w:eastAsia="宋体"/>
      <w:sz w:val="21"/>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TotalTime>
  <ScaleCrop>false</ScaleCrop>
  <LinksUpToDate>false</LinksUpToDate>
  <CharactersWithSpaces>0</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2024-05-31T16:36:00Z</dcterms:created>
  <dc:creator>HakunaMatata</dc:creator>
  <cp:lastModifiedBy>HakunaMatata</cp:lastModifiedBy>
  <dcterms:modified xsi:type="dcterms:W3CDTF">2024-06-17T08:24:32Z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97EAF6BEBF210A3D783A58665BC31C80_41</vt:lpwstr>
  </property>
</Properties>
</file>