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eastAsia"/>
          <w:lang w:val="en-US" w:eastAsia="zh-CN"/>
        </w:rPr>
        <w:t>采购项目需求</w:t>
      </w:r>
    </w:p>
    <w:p>
      <w:pPr>
        <w:pStyle w:val="3"/>
        <w:bidi w:val="0"/>
        <w:jc w:val="center"/>
        <w:rPr>
          <w:rFonts w:hint="eastAsia"/>
          <w:lang w:val="en-US" w:eastAsia="zh-CN"/>
        </w:rPr>
      </w:pPr>
      <w:r>
        <w:rPr>
          <w:rFonts w:hint="eastAsia"/>
          <w:lang w:val="en-US" w:eastAsia="zh-CN"/>
        </w:rPr>
        <w:t>一、轮转式切片机技术参数</w:t>
      </w:r>
    </w:p>
    <w:p>
      <w:pPr>
        <w:spacing w:line="440" w:lineRule="exact"/>
        <w:rPr>
          <w:rFonts w:hint="eastAsia" w:ascii="仿宋" w:hAnsi="仿宋" w:eastAsia="仿宋" w:cs="仿宋"/>
          <w:sz w:val="28"/>
          <w:szCs w:val="28"/>
        </w:rPr>
      </w:pPr>
      <w:r>
        <w:rPr>
          <w:rFonts w:hint="eastAsia" w:ascii="仿宋" w:hAnsi="仿宋" w:eastAsia="仿宋" w:cs="仿宋"/>
          <w:b w:val="0"/>
          <w:bCs/>
          <w:sz w:val="28"/>
          <w:szCs w:val="28"/>
          <w:lang w:val="en-US" w:eastAsia="zh-CN"/>
        </w:rPr>
        <w:t>1.</w:t>
      </w:r>
      <w:r>
        <w:rPr>
          <w:rFonts w:hint="eastAsia" w:ascii="仿宋" w:hAnsi="仿宋" w:eastAsia="仿宋" w:cs="仿宋"/>
          <w:sz w:val="28"/>
          <w:szCs w:val="28"/>
        </w:rPr>
        <w:t>切片厚度</w:t>
      </w:r>
      <w:r>
        <w:rPr>
          <w:rFonts w:hint="eastAsia" w:ascii="仿宋" w:hAnsi="仿宋" w:eastAsia="仿宋" w:cs="仿宋"/>
          <w:sz w:val="28"/>
          <w:szCs w:val="28"/>
          <w:lang w:eastAsia="zh-CN"/>
        </w:rPr>
        <w:t>：</w:t>
      </w:r>
      <w:r>
        <w:rPr>
          <w:rFonts w:hint="eastAsia" w:ascii="仿宋" w:hAnsi="仿宋" w:eastAsia="仿宋" w:cs="仿宋"/>
          <w:sz w:val="28"/>
          <w:szCs w:val="28"/>
        </w:rPr>
        <w:t>0.5~100 微米</w:t>
      </w:r>
    </w:p>
    <w:p>
      <w:pPr>
        <w:spacing w:line="440" w:lineRule="exac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修片厚度</w:t>
      </w:r>
      <w:r>
        <w:rPr>
          <w:rFonts w:hint="eastAsia" w:ascii="仿宋" w:hAnsi="仿宋" w:eastAsia="仿宋" w:cs="仿宋"/>
          <w:sz w:val="28"/>
          <w:szCs w:val="28"/>
          <w:lang w:eastAsia="zh-CN"/>
        </w:rPr>
        <w:t>：</w:t>
      </w:r>
      <w:r>
        <w:rPr>
          <w:rFonts w:hint="eastAsia" w:ascii="仿宋" w:hAnsi="仿宋" w:eastAsia="仿宋" w:cs="仿宋"/>
          <w:sz w:val="28"/>
          <w:szCs w:val="28"/>
        </w:rPr>
        <w:t>1~600 微米</w:t>
      </w:r>
    </w:p>
    <w:p>
      <w:pPr>
        <w:numPr>
          <w:ilvl w:val="0"/>
          <w:numId w:val="2"/>
        </w:numPr>
        <w:spacing w:line="440" w:lineRule="exact"/>
        <w:rPr>
          <w:rFonts w:hint="eastAsia" w:ascii="仿宋" w:hAnsi="仿宋" w:eastAsia="仿宋" w:cs="仿宋"/>
          <w:sz w:val="28"/>
          <w:szCs w:val="28"/>
        </w:rPr>
      </w:pPr>
      <w:r>
        <w:rPr>
          <w:rFonts w:hint="eastAsia" w:ascii="仿宋" w:hAnsi="仿宋" w:eastAsia="仿宋" w:cs="仿宋"/>
          <w:sz w:val="28"/>
          <w:szCs w:val="28"/>
        </w:rPr>
        <w:t>样本夹头最大垂直行程</w:t>
      </w:r>
      <w:r>
        <w:rPr>
          <w:rFonts w:hint="eastAsia" w:ascii="仿宋" w:hAnsi="仿宋" w:eastAsia="仿宋" w:cs="仿宋"/>
          <w:sz w:val="28"/>
          <w:szCs w:val="28"/>
          <w:lang w:eastAsia="zh-CN"/>
        </w:rPr>
        <w:t>：</w:t>
      </w:r>
      <w:r>
        <w:rPr>
          <w:rFonts w:hint="eastAsia" w:ascii="仿宋" w:hAnsi="仿宋" w:eastAsia="仿宋" w:cs="仿宋"/>
          <w:sz w:val="28"/>
          <w:szCs w:val="28"/>
        </w:rPr>
        <w:t>70±1 毫米</w:t>
      </w:r>
    </w:p>
    <w:p>
      <w:pPr>
        <w:numPr>
          <w:ilvl w:val="0"/>
          <w:numId w:val="2"/>
        </w:numPr>
        <w:spacing w:line="440" w:lineRule="exact"/>
        <w:rPr>
          <w:rFonts w:hint="eastAsia" w:ascii="仿宋" w:hAnsi="仿宋" w:eastAsia="仿宋" w:cs="仿宋"/>
          <w:sz w:val="28"/>
          <w:szCs w:val="28"/>
          <w:lang w:eastAsia="zh-CN"/>
        </w:rPr>
      </w:pPr>
      <w:r>
        <w:rPr>
          <w:rFonts w:hint="eastAsia" w:ascii="仿宋" w:hAnsi="仿宋" w:eastAsia="仿宋" w:cs="仿宋"/>
          <w:sz w:val="28"/>
          <w:szCs w:val="28"/>
        </w:rPr>
        <w:t>样本夹头最大水平行程</w:t>
      </w:r>
      <w:r>
        <w:rPr>
          <w:rFonts w:hint="eastAsia" w:ascii="仿宋" w:hAnsi="仿宋" w:eastAsia="仿宋" w:cs="仿宋"/>
          <w:sz w:val="28"/>
          <w:szCs w:val="28"/>
          <w:lang w:eastAsia="zh-CN"/>
        </w:rPr>
        <w:t>：30±1 毫米</w:t>
      </w:r>
    </w:p>
    <w:p>
      <w:pPr>
        <w:numPr>
          <w:ilvl w:val="0"/>
          <w:numId w:val="2"/>
        </w:num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rPr>
        <w:t>样本夹头回缩</w:t>
      </w:r>
      <w:r>
        <w:rPr>
          <w:rFonts w:hint="eastAsia" w:ascii="仿宋" w:hAnsi="仿宋" w:eastAsia="仿宋" w:cs="仿宋"/>
          <w:sz w:val="28"/>
          <w:szCs w:val="28"/>
          <w:lang w:eastAsia="zh-CN"/>
        </w:rPr>
        <w:t>：5~100 微米可调，可关闭</w:t>
      </w:r>
    </w:p>
    <w:p>
      <w:pPr>
        <w:numPr>
          <w:ilvl w:val="0"/>
          <w:numId w:val="2"/>
        </w:num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夹头驱动方式：步进电机驱动</w:t>
      </w:r>
    </w:p>
    <w:p>
      <w:pPr>
        <w:numPr>
          <w:ilvl w:val="0"/>
          <w:numId w:val="2"/>
        </w:num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配重方式：铅块配重，非弹簧配重</w:t>
      </w:r>
    </w:p>
    <w:p>
      <w:pPr>
        <w:numPr>
          <w:ilvl w:val="0"/>
          <w:numId w:val="2"/>
        </w:num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有自动注油系统</w:t>
      </w:r>
    </w:p>
    <w:p>
      <w:pPr>
        <w:numPr>
          <w:ilvl w:val="0"/>
          <w:numId w:val="2"/>
        </w:num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休眠模式：机器 15分钟内未操作，自动进入休眠状态</w:t>
      </w:r>
    </w:p>
    <w:p>
      <w:pPr>
        <w:numPr>
          <w:ilvl w:val="0"/>
          <w:numId w:val="0"/>
        </w:num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10.修块模式：3种，其中必须含小手轮（非旋钮）辅助修块模式</w:t>
      </w:r>
    </w:p>
    <w:p>
      <w:pPr>
        <w:numPr>
          <w:ilvl w:val="0"/>
          <w:numId w:val="0"/>
        </w:num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11.小手轮：机器左侧的小手轮可换向：小手轮顺时针转动夹头前进/逆时针夹头后退，或者顺时针后退/逆时针前进</w:t>
      </w:r>
    </w:p>
    <w:p>
      <w:pPr>
        <w:numPr>
          <w:ilvl w:val="0"/>
          <w:numId w:val="0"/>
        </w:numPr>
        <w:tabs>
          <w:tab w:val="left" w:pos="776"/>
        </w:tabs>
        <w:spacing w:line="44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12.</w:t>
      </w:r>
      <w:r>
        <w:rPr>
          <w:rFonts w:hint="eastAsia" w:ascii="仿宋" w:hAnsi="仿宋" w:eastAsia="仿宋" w:cs="仿宋"/>
          <w:sz w:val="28"/>
          <w:szCs w:val="28"/>
        </w:rPr>
        <w:t>安全锁定功能</w:t>
      </w:r>
      <w:r>
        <w:rPr>
          <w:rFonts w:hint="eastAsia" w:ascii="仿宋" w:hAnsi="仿宋" w:eastAsia="仿宋" w:cs="仿宋"/>
          <w:sz w:val="28"/>
          <w:szCs w:val="28"/>
          <w:lang w:eastAsia="zh-CN"/>
        </w:rPr>
        <w:t>：大手轮可最高点锁定和任意位置锁定</w:t>
      </w:r>
    </w:p>
    <w:p>
      <w:pPr>
        <w:numPr>
          <w:ilvl w:val="0"/>
          <w:numId w:val="0"/>
        </w:num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13.样品角度可调整范围：有零位显示，水平方向：±8°垂直方向：±8°</w:t>
      </w:r>
    </w:p>
    <w:p>
      <w:pPr>
        <w:numPr>
          <w:ilvl w:val="0"/>
          <w:numId w:val="0"/>
        </w:num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14.标本钳：夹头和角度调节装置之间，有一个带燕尾滑块的快装装置，方便快速更换或拆卸夹头</w:t>
      </w:r>
    </w:p>
    <w:p>
      <w:pPr>
        <w:numPr>
          <w:ilvl w:val="0"/>
          <w:numId w:val="0"/>
        </w:num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15.显示：液晶显示，非电子管显示</w:t>
      </w:r>
    </w:p>
    <w:p>
      <w:pPr>
        <w:numPr>
          <w:ilvl w:val="0"/>
          <w:numId w:val="0"/>
        </w:numPr>
        <w:spacing w:line="4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16.独立控制盒：有位置记忆功能</w:t>
      </w:r>
    </w:p>
    <w:p>
      <w:pPr>
        <w:pStyle w:val="6"/>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6"/>
        <w:rPr>
          <w:rFonts w:hint="eastAsia"/>
          <w:lang w:val="en-US" w:eastAsia="zh-CN"/>
        </w:rPr>
      </w:pPr>
    </w:p>
    <w:p>
      <w:pPr>
        <w:pStyle w:val="6"/>
        <w:rPr>
          <w:rFonts w:hint="eastAsia"/>
          <w:lang w:val="en-US" w:eastAsia="zh-CN"/>
        </w:rPr>
      </w:pPr>
    </w:p>
    <w:p>
      <w:pPr>
        <w:pStyle w:val="3"/>
        <w:bidi w:val="0"/>
        <w:jc w:val="center"/>
        <w:rPr>
          <w:rFonts w:hint="eastAsia" w:ascii="仿宋" w:hAnsi="仿宋" w:eastAsia="仿宋" w:cs="仿宋"/>
        </w:rPr>
      </w:pPr>
      <w:bookmarkStart w:id="0" w:name="_Toc12577"/>
      <w:r>
        <w:rPr>
          <w:rFonts w:hint="eastAsia" w:ascii="仿宋" w:hAnsi="仿宋" w:eastAsia="仿宋" w:cs="仿宋"/>
          <w:lang w:val="en-US" w:eastAsia="zh-CN"/>
        </w:rPr>
        <w:t>二、商务要求</w:t>
      </w:r>
      <w:bookmarkEnd w:id="0"/>
    </w:p>
    <w:p>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（一）总体要求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1.所有设备提供终身技术咨询及设备维护。</w:t>
      </w:r>
    </w:p>
    <w:p>
      <w:pPr>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保修期内</w:t>
      </w:r>
      <w:r>
        <w:rPr>
          <w:rFonts w:hint="eastAsia" w:ascii="仿宋" w:hAnsi="仿宋" w:eastAsia="仿宋" w:cs="仿宋"/>
          <w:sz w:val="24"/>
          <w:szCs w:val="24"/>
        </w:rPr>
        <w:t>接到维修电话通知后2小时内响应，如不能马上解决，工程师必须在24小时内到达现场处理（包括节假日）。若5天内不能排除故障，须提供备品机。</w:t>
      </w:r>
    </w:p>
    <w:p>
      <w:pPr>
        <w:spacing w:line="360" w:lineRule="auto"/>
        <w:rPr>
          <w:rFonts w:hint="eastAsia" w:ascii="仿宋" w:hAnsi="仿宋" w:eastAsia="仿宋" w:cs="仿宋"/>
          <w:sz w:val="24"/>
          <w:szCs w:val="24"/>
        </w:rPr>
      </w:pPr>
      <w:r>
        <w:rPr>
          <w:rFonts w:hint="eastAsia" w:ascii="仿宋" w:hAnsi="仿宋" w:eastAsia="仿宋" w:cs="仿宋"/>
          <w:sz w:val="24"/>
          <w:szCs w:val="24"/>
        </w:rPr>
        <w:t>3.中标投标人应当委派专业工程师在设备使用现场对使用人员和工程技术人员进行培训，保证使用人员能够正确操作设备及掌握一级养护为止，工程技术人员达到掌握机器正常保养和基本维俢技能，为用户提供日常专业化服务。</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本项目专门面向中小企业。</w:t>
      </w:r>
    </w:p>
    <w:p>
      <w:pPr>
        <w:widowControl/>
        <w:spacing w:before="360" w:after="240"/>
        <w:jc w:val="left"/>
        <w:outlineLvl w:val="1"/>
        <w:rPr>
          <w:rFonts w:hint="eastAsia" w:ascii="仿宋" w:hAnsi="仿宋" w:eastAsia="仿宋" w:cs="仿宋"/>
          <w:b/>
          <w:color w:val="222222"/>
          <w:kern w:val="0"/>
          <w:sz w:val="24"/>
          <w:szCs w:val="24"/>
          <w:lang w:val="en-US" w:eastAsia="zh-CN"/>
        </w:rPr>
      </w:pPr>
      <w:r>
        <w:rPr>
          <w:rFonts w:hint="eastAsia" w:ascii="仿宋" w:hAnsi="仿宋" w:eastAsia="仿宋" w:cs="仿宋"/>
          <w:b/>
          <w:color w:val="222222"/>
          <w:kern w:val="0"/>
          <w:sz w:val="24"/>
          <w:szCs w:val="24"/>
          <w:lang w:val="en-US" w:eastAsia="zh-CN"/>
        </w:rPr>
        <w:t>（二）其他要求</w:t>
      </w:r>
    </w:p>
    <w:p>
      <w:pPr>
        <w:spacing w:line="360" w:lineRule="auto"/>
        <w:rPr>
          <w:rFonts w:hint="eastAsia" w:ascii="仿宋" w:hAnsi="仿宋" w:eastAsia="仿宋" w:cs="仿宋"/>
          <w:sz w:val="24"/>
          <w:szCs w:val="24"/>
        </w:rPr>
      </w:pPr>
      <w:bookmarkStart w:id="1" w:name="_Toc15845_WPSOffice_Level2"/>
      <w:r>
        <w:rPr>
          <w:rFonts w:hint="eastAsia" w:ascii="仿宋" w:hAnsi="仿宋" w:eastAsia="仿宋" w:cs="仿宋"/>
          <w:sz w:val="24"/>
          <w:szCs w:val="24"/>
          <w:lang w:val="en-US" w:eastAsia="zh-CN"/>
        </w:rPr>
        <w:t>1.</w:t>
      </w:r>
      <w:r>
        <w:rPr>
          <w:rFonts w:hint="eastAsia" w:ascii="仿宋" w:hAnsi="仿宋" w:eastAsia="仿宋" w:cs="仿宋"/>
          <w:sz w:val="24"/>
          <w:szCs w:val="24"/>
        </w:rPr>
        <w:t>交货期</w:t>
      </w:r>
      <w:bookmarkEnd w:id="1"/>
    </w:p>
    <w:p>
      <w:pPr>
        <w:spacing w:line="360" w:lineRule="auto"/>
        <w:rPr>
          <w:rFonts w:hint="eastAsia" w:ascii="仿宋" w:hAnsi="仿宋" w:eastAsia="仿宋" w:cs="仿宋"/>
          <w:sz w:val="24"/>
          <w:szCs w:val="24"/>
        </w:rPr>
      </w:pPr>
      <w:bookmarkStart w:id="2" w:name="_Toc9791_WPSOffice_Level2"/>
      <w:r>
        <w:rPr>
          <w:rFonts w:hint="eastAsia" w:ascii="仿宋" w:hAnsi="仿宋" w:eastAsia="仿宋" w:cs="仿宋"/>
          <w:sz w:val="24"/>
          <w:szCs w:val="24"/>
        </w:rPr>
        <w:t>合同生效后30个工作日内完成交货、安装调试及验收。</w:t>
      </w:r>
    </w:p>
    <w:bookmarkEnd w:id="2"/>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资金性质和结算方式</w:t>
      </w:r>
    </w:p>
    <w:p>
      <w:pPr>
        <w:spacing w:line="360" w:lineRule="auto"/>
        <w:rPr>
          <w:rFonts w:hint="eastAsia" w:ascii="仿宋" w:hAnsi="仿宋" w:eastAsia="仿宋" w:cs="仿宋"/>
          <w:b/>
          <w:bCs/>
          <w:sz w:val="24"/>
          <w:szCs w:val="24"/>
          <w:highlight w:val="none"/>
        </w:rPr>
      </w:pPr>
      <w:bookmarkStart w:id="3" w:name="_Toc9750_WPSOffice_Level2"/>
      <w:r>
        <w:rPr>
          <w:rFonts w:hint="eastAsia" w:ascii="仿宋" w:hAnsi="仿宋" w:eastAsia="仿宋" w:cs="仿宋"/>
          <w:b/>
          <w:bCs/>
          <w:sz w:val="24"/>
          <w:szCs w:val="24"/>
          <w:highlight w:val="none"/>
        </w:rPr>
        <w:t>资金性质：本项目预算资金为</w:t>
      </w:r>
      <w:r>
        <w:rPr>
          <w:rFonts w:hint="eastAsia" w:ascii="仿宋" w:hAnsi="仿宋" w:eastAsia="仿宋" w:cs="仿宋"/>
          <w:b/>
          <w:bCs/>
          <w:sz w:val="24"/>
          <w:szCs w:val="24"/>
          <w:highlight w:val="none"/>
          <w:lang w:val="en-US" w:eastAsia="zh-CN"/>
        </w:rPr>
        <w:t>医院自筹</w:t>
      </w:r>
      <w:r>
        <w:rPr>
          <w:rFonts w:hint="eastAsia" w:ascii="仿宋" w:hAnsi="仿宋" w:eastAsia="仿宋" w:cs="仿宋"/>
          <w:b/>
          <w:bCs/>
          <w:sz w:val="24"/>
          <w:szCs w:val="24"/>
          <w:highlight w:val="none"/>
        </w:rPr>
        <w:t>资金，预算总金额人民币</w:t>
      </w:r>
      <w:r>
        <w:rPr>
          <w:rFonts w:hint="eastAsia" w:ascii="仿宋" w:hAnsi="仿宋" w:eastAsia="仿宋" w:cs="仿宋"/>
          <w:b/>
          <w:bCs/>
          <w:sz w:val="24"/>
          <w:szCs w:val="24"/>
          <w:highlight w:val="none"/>
          <w:lang w:val="en-US" w:eastAsia="zh-CN"/>
        </w:rPr>
        <w:t>9.8</w:t>
      </w:r>
      <w:r>
        <w:rPr>
          <w:rFonts w:hint="eastAsia" w:ascii="仿宋" w:hAnsi="仿宋" w:eastAsia="仿宋" w:cs="仿宋"/>
          <w:b/>
          <w:bCs/>
          <w:sz w:val="24"/>
          <w:szCs w:val="24"/>
          <w:highlight w:val="none"/>
        </w:rPr>
        <w:t>万元。</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付款方式：</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（1）合同签订生效后的</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 xml:space="preserve">个工作日内，将合同总金额的30%支付给乙方。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（2）设备运到指定地点，安装调试完毕并验收合格后的</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个工作日内将合同总金额的</w:t>
      </w:r>
      <w:r>
        <w:rPr>
          <w:rFonts w:hint="eastAsia" w:ascii="仿宋" w:hAnsi="仿宋" w:eastAsia="仿宋" w:cs="仿宋"/>
          <w:sz w:val="24"/>
          <w:szCs w:val="24"/>
          <w:highlight w:val="none"/>
          <w:lang w:val="en-US" w:eastAsia="zh-CN"/>
        </w:rPr>
        <w:t>70</w:t>
      </w:r>
      <w:r>
        <w:rPr>
          <w:rFonts w:hint="eastAsia" w:ascii="仿宋" w:hAnsi="仿宋" w:eastAsia="仿宋" w:cs="仿宋"/>
          <w:sz w:val="24"/>
          <w:szCs w:val="24"/>
          <w:highlight w:val="none"/>
        </w:rPr>
        <w:t>%支付给乙方。</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乙方应在甲方付款</w:t>
      </w:r>
      <w:r>
        <w:rPr>
          <w:rFonts w:hint="eastAsia" w:ascii="仿宋" w:hAnsi="仿宋" w:eastAsia="仿宋" w:cs="仿宋"/>
          <w:sz w:val="24"/>
          <w:szCs w:val="24"/>
          <w:highlight w:val="none"/>
          <w:lang w:val="en-US" w:eastAsia="zh-CN"/>
        </w:rPr>
        <w:t>申请</w:t>
      </w:r>
      <w:r>
        <w:rPr>
          <w:rFonts w:hint="eastAsia" w:ascii="仿宋" w:hAnsi="仿宋" w:eastAsia="仿宋" w:cs="仿宋"/>
          <w:sz w:val="24"/>
          <w:szCs w:val="24"/>
          <w:highlight w:val="none"/>
        </w:rPr>
        <w:t>前的</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个工作日前向甲方出具等额发票，否则甲方有权顺延付款的期限。</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实质性内容</w:t>
      </w:r>
      <w:bookmarkEnd w:id="3"/>
    </w:p>
    <w:p>
      <w:pPr>
        <w:spacing w:line="360" w:lineRule="auto"/>
        <w:rPr>
          <w:rFonts w:hint="eastAsia" w:ascii="仿宋" w:hAnsi="仿宋" w:eastAsia="仿宋" w:cs="仿宋"/>
          <w:sz w:val="24"/>
          <w:szCs w:val="24"/>
        </w:rPr>
      </w:pPr>
      <w:bookmarkStart w:id="4" w:name="_Toc13722_WPSOffice_Level2"/>
      <w:r>
        <w:rPr>
          <w:rFonts w:hint="eastAsia" w:ascii="仿宋" w:hAnsi="仿宋" w:eastAsia="仿宋" w:cs="仿宋"/>
          <w:sz w:val="24"/>
          <w:szCs w:val="24"/>
        </w:rPr>
        <w:t>本项目的实质性内容为标的（采购货物的类型）、货物数量、投标报价要求、交货期，遴选响应人必须完全满足上述实质性内容的要求，如果有一项不满足，其投标将被拒绝。</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其他</w:t>
      </w:r>
      <w:bookmarkEnd w:id="4"/>
    </w:p>
    <w:p>
      <w:pPr>
        <w:spacing w:line="360" w:lineRule="auto"/>
        <w:rPr>
          <w:rFonts w:hint="eastAsia" w:ascii="仿宋" w:hAnsi="仿宋" w:eastAsia="仿宋" w:cs="仿宋"/>
          <w:sz w:val="24"/>
          <w:szCs w:val="24"/>
        </w:rPr>
      </w:pPr>
      <w:r>
        <w:rPr>
          <w:rFonts w:hint="eastAsia" w:ascii="仿宋" w:hAnsi="仿宋" w:eastAsia="仿宋" w:cs="仿宋"/>
          <w:sz w:val="24"/>
          <w:szCs w:val="24"/>
        </w:rPr>
        <w:t>1.遴选响应人可以对本项目进行投报，但不得将项目中的内容拆散来</w:t>
      </w:r>
      <w:r>
        <w:rPr>
          <w:rFonts w:hint="eastAsia" w:ascii="仿宋" w:hAnsi="仿宋" w:eastAsia="仿宋" w:cs="仿宋"/>
          <w:sz w:val="24"/>
          <w:szCs w:val="24"/>
          <w:lang w:val="en-US" w:eastAsia="zh-CN"/>
        </w:rPr>
        <w:t>响应</w:t>
      </w:r>
      <w:r>
        <w:rPr>
          <w:rFonts w:hint="eastAsia" w:ascii="仿宋" w:hAnsi="仿宋" w:eastAsia="仿宋" w:cs="仿宋"/>
          <w:sz w:val="24"/>
          <w:szCs w:val="24"/>
        </w:rPr>
        <w:t>。</w:t>
      </w:r>
    </w:p>
    <w:p>
      <w:pPr>
        <w:pStyle w:val="7"/>
        <w:spacing w:line="480" w:lineRule="exac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kern w:val="0"/>
          <w:sz w:val="24"/>
          <w:szCs w:val="24"/>
        </w:rPr>
        <w:t>本项目专门面向中小企业采购。本项目整体预留专门面向中小企业采购，参与的供应商提供的服务全部由符合政策要求的中小企业承接（中小企业包括中型企业、小型企业和微型企业。监狱企业、残疾人福利性单位视同小型、微型企业）；（</w:t>
      </w:r>
      <w:r>
        <w:rPr>
          <w:rFonts w:hint="eastAsia" w:ascii="仿宋" w:hAnsi="仿宋" w:eastAsia="仿宋" w:cs="仿宋"/>
          <w:b/>
          <w:sz w:val="24"/>
          <w:szCs w:val="24"/>
        </w:rPr>
        <w:t>中小企业需</w:t>
      </w:r>
      <w:r>
        <w:rPr>
          <w:rFonts w:hint="eastAsia" w:ascii="仿宋" w:hAnsi="仿宋" w:eastAsia="仿宋" w:cs="仿宋"/>
          <w:b/>
          <w:kern w:val="0"/>
          <w:sz w:val="24"/>
          <w:szCs w:val="24"/>
        </w:rPr>
        <w:t>提供《中小企业声明函》；若供应商为监狱企业，则提供由省级以上监狱管理局、戒毒管理局（含新疆生产建设兵团）出具的属于监狱企业的证明文件；若供应商为残疾人福利性单位，则提供《残疾人福利性单位声明函》）。</w:t>
      </w:r>
    </w:p>
    <w:p>
      <w:pPr>
        <w:spacing w:line="360" w:lineRule="auto"/>
        <w:rPr>
          <w:rFonts w:hint="eastAsia" w:ascii="仿宋" w:hAnsi="仿宋" w:eastAsia="仿宋" w:cs="仿宋"/>
          <w:sz w:val="24"/>
          <w:szCs w:val="24"/>
        </w:rPr>
      </w:pPr>
      <w:r>
        <w:rPr>
          <w:rFonts w:hint="eastAsia" w:ascii="仿宋" w:hAnsi="仿宋" w:eastAsia="仿宋" w:cs="仿宋"/>
          <w:sz w:val="24"/>
          <w:szCs w:val="24"/>
        </w:rPr>
        <w:t>说明：</w:t>
      </w:r>
    </w:p>
    <w:p>
      <w:pPr>
        <w:pStyle w:val="7"/>
        <w:numPr>
          <w:ilvl w:val="0"/>
          <w:numId w:val="3"/>
        </w:numPr>
        <w:tabs>
          <w:tab w:val="left" w:pos="1080"/>
        </w:tabs>
        <w:spacing w:line="480" w:lineRule="exact"/>
        <w:ind w:left="0" w:firstLine="482" w:firstLineChars="200"/>
        <w:rPr>
          <w:rFonts w:hint="eastAsia" w:ascii="仿宋" w:hAnsi="仿宋" w:eastAsia="仿宋" w:cs="仿宋"/>
          <w:lang w:val="en-US" w:eastAsia="zh-CN"/>
        </w:rPr>
      </w:pPr>
      <w:r>
        <w:rPr>
          <w:rFonts w:hint="eastAsia" w:ascii="仿宋" w:hAnsi="仿宋" w:eastAsia="仿宋" w:cs="仿宋"/>
          <w:b/>
          <w:bCs/>
          <w:sz w:val="24"/>
          <w:szCs w:val="24"/>
        </w:rPr>
        <w:t>注：“商务要求”中的内容有与“技术要求”中的内容不一致的，以“技术要求”中的要求为准。</w:t>
      </w:r>
    </w:p>
    <w:p>
      <w:pPr>
        <w:numPr>
          <w:ilvl w:val="0"/>
          <w:numId w:val="0"/>
        </w:numPr>
        <w:spacing w:line="440" w:lineRule="exact"/>
        <w:rPr>
          <w:rFonts w:hint="eastAsia" w:ascii="仿宋" w:hAnsi="仿宋" w:eastAsia="仿宋" w:cs="仿宋"/>
          <w:lang w:val="en-US" w:eastAsia="zh-CN"/>
        </w:rPr>
      </w:pPr>
    </w:p>
    <w:p>
      <w:pPr>
        <w:tabs>
          <w:tab w:val="left" w:pos="1050"/>
        </w:tabs>
        <w:spacing w:line="480" w:lineRule="exact"/>
        <w:jc w:val="center"/>
        <w:rPr>
          <w:rFonts w:hint="eastAsia" w:ascii="仿宋" w:hAnsi="仿宋" w:eastAsia="仿宋" w:cs="仿宋"/>
          <w:b/>
          <w:bCs/>
          <w:kern w:val="44"/>
          <w:sz w:val="36"/>
          <w:szCs w:val="36"/>
        </w:rPr>
      </w:pPr>
    </w:p>
    <w:p>
      <w:pPr>
        <w:tabs>
          <w:tab w:val="left" w:pos="1050"/>
        </w:tabs>
        <w:spacing w:line="480" w:lineRule="exact"/>
        <w:jc w:val="center"/>
        <w:rPr>
          <w:rFonts w:hint="eastAsia" w:ascii="仿宋" w:hAnsi="仿宋" w:eastAsia="仿宋" w:cs="仿宋"/>
          <w:b/>
          <w:bCs/>
          <w:kern w:val="44"/>
          <w:sz w:val="36"/>
          <w:szCs w:val="36"/>
        </w:rPr>
      </w:pPr>
      <w:r>
        <w:rPr>
          <w:rFonts w:hint="eastAsia" w:ascii="仿宋" w:hAnsi="仿宋" w:eastAsia="仿宋" w:cs="仿宋"/>
          <w:b/>
          <w:bCs/>
          <w:kern w:val="44"/>
          <w:sz w:val="36"/>
          <w:szCs w:val="36"/>
        </w:rPr>
        <w:t>评审办法（综合评分法）</w:t>
      </w:r>
    </w:p>
    <w:p>
      <w:pPr>
        <w:spacing w:line="360" w:lineRule="auto"/>
        <w:jc w:val="center"/>
        <w:rPr>
          <w:rFonts w:hint="eastAsia" w:ascii="仿宋" w:hAnsi="仿宋" w:eastAsia="仿宋" w:cs="仿宋"/>
          <w:sz w:val="24"/>
        </w:rPr>
      </w:pPr>
      <w:r>
        <w:rPr>
          <w:rFonts w:hint="eastAsia" w:ascii="仿宋" w:hAnsi="仿宋" w:eastAsia="仿宋" w:cs="仿宋"/>
          <w:b/>
          <w:bCs/>
          <w:sz w:val="28"/>
        </w:rPr>
        <w:t>评定原则与评审方法</w:t>
      </w:r>
    </w:p>
    <w:p>
      <w:pPr>
        <w:pStyle w:val="7"/>
        <w:spacing w:line="480" w:lineRule="exact"/>
        <w:ind w:firstLine="480" w:firstLineChars="200"/>
        <w:rPr>
          <w:rFonts w:hint="eastAsia" w:ascii="仿宋" w:hAnsi="仿宋" w:eastAsia="仿宋" w:cs="仿宋"/>
          <w:sz w:val="24"/>
        </w:rPr>
      </w:pPr>
      <w:r>
        <w:rPr>
          <w:rFonts w:hint="eastAsia" w:ascii="仿宋" w:hAnsi="仿宋" w:eastAsia="仿宋" w:cs="仿宋"/>
          <w:sz w:val="24"/>
        </w:rPr>
        <w:t>按能够最大限度地满足</w:t>
      </w:r>
      <w:r>
        <w:rPr>
          <w:rFonts w:hint="eastAsia" w:ascii="仿宋" w:hAnsi="仿宋" w:eastAsia="仿宋" w:cs="仿宋"/>
          <w:sz w:val="24"/>
          <w:lang w:val="en-US" w:eastAsia="zh-CN"/>
        </w:rPr>
        <w:t>遴选</w:t>
      </w:r>
      <w:r>
        <w:rPr>
          <w:rFonts w:hint="eastAsia" w:ascii="仿宋" w:hAnsi="仿宋" w:eastAsia="仿宋" w:cs="仿宋"/>
          <w:sz w:val="24"/>
        </w:rPr>
        <w:t>文件中规定的各项综合评价标准的投标人成交的原则定标。</w:t>
      </w:r>
    </w:p>
    <w:p>
      <w:pPr>
        <w:pStyle w:val="7"/>
        <w:spacing w:line="480" w:lineRule="exact"/>
        <w:ind w:firstLine="480" w:firstLineChars="200"/>
        <w:rPr>
          <w:rFonts w:hint="eastAsia" w:ascii="仿宋" w:hAnsi="仿宋" w:eastAsia="仿宋" w:cs="仿宋"/>
          <w:sz w:val="24"/>
        </w:rPr>
      </w:pPr>
      <w:r>
        <w:rPr>
          <w:rFonts w:hint="eastAsia" w:ascii="仿宋" w:hAnsi="仿宋" w:eastAsia="仿宋" w:cs="仿宋"/>
          <w:sz w:val="24"/>
        </w:rPr>
        <w:t>由</w:t>
      </w:r>
      <w:r>
        <w:rPr>
          <w:rFonts w:hint="eastAsia" w:ascii="仿宋" w:hAnsi="仿宋" w:eastAsia="仿宋" w:cs="仿宋"/>
          <w:sz w:val="24"/>
          <w:lang w:val="en-US" w:eastAsia="zh-CN"/>
        </w:rPr>
        <w:t>遴选</w:t>
      </w:r>
      <w:r>
        <w:rPr>
          <w:rFonts w:hint="eastAsia" w:ascii="仿宋" w:hAnsi="仿宋" w:eastAsia="仿宋" w:cs="仿宋"/>
          <w:sz w:val="24"/>
        </w:rPr>
        <w:t>委员会对所有投标文件进行</w:t>
      </w:r>
      <w:r>
        <w:rPr>
          <w:rFonts w:hint="eastAsia" w:ascii="仿宋" w:hAnsi="仿宋" w:eastAsia="仿宋" w:cs="仿宋"/>
          <w:sz w:val="24"/>
          <w:szCs w:val="24"/>
        </w:rPr>
        <w:t>符合性</w:t>
      </w:r>
      <w:r>
        <w:rPr>
          <w:rFonts w:hint="eastAsia" w:ascii="仿宋" w:hAnsi="仿宋" w:eastAsia="仿宋" w:cs="仿宋"/>
          <w:sz w:val="24"/>
        </w:rPr>
        <w:t>审查，未能满足招标文件要求的投标文件作无效投标处理，通过符合性审查的投标人才能进入评比阶段。</w:t>
      </w:r>
    </w:p>
    <w:p>
      <w:pPr>
        <w:pStyle w:val="7"/>
        <w:tabs>
          <w:tab w:val="left" w:pos="720"/>
          <w:tab w:val="left" w:pos="900"/>
          <w:tab w:val="left" w:pos="1215"/>
        </w:tabs>
        <w:spacing w:line="480" w:lineRule="exact"/>
        <w:ind w:firstLine="482" w:firstLineChars="200"/>
        <w:rPr>
          <w:rFonts w:hint="eastAsia" w:ascii="仿宋" w:hAnsi="仿宋" w:eastAsia="仿宋" w:cs="仿宋"/>
          <w:b/>
          <w:sz w:val="24"/>
        </w:rPr>
      </w:pPr>
      <w:r>
        <w:rPr>
          <w:rFonts w:hint="eastAsia" w:ascii="仿宋" w:hAnsi="仿宋" w:eastAsia="仿宋" w:cs="仿宋"/>
          <w:b/>
          <w:sz w:val="24"/>
        </w:rPr>
        <w:t>经确定最终采购需求和提交最后报价的投标人后，由评标委员会采用综合评分法对提交最后报价的投标人的投标文件和最后投标报价进行综合评分，评审以招标文件规定的条件为原则，最低报价不作为成交的唯一依据。</w:t>
      </w:r>
    </w:p>
    <w:p>
      <w:pPr>
        <w:pStyle w:val="7"/>
        <w:tabs>
          <w:tab w:val="left" w:pos="720"/>
          <w:tab w:val="left" w:pos="900"/>
          <w:tab w:val="left" w:pos="1215"/>
        </w:tabs>
        <w:spacing w:line="480" w:lineRule="exact"/>
        <w:ind w:firstLine="482" w:firstLineChars="200"/>
        <w:rPr>
          <w:rFonts w:hint="eastAsia" w:ascii="仿宋" w:hAnsi="仿宋" w:eastAsia="仿宋" w:cs="仿宋"/>
          <w:b/>
          <w:sz w:val="24"/>
        </w:rPr>
      </w:pPr>
      <w:r>
        <w:rPr>
          <w:rFonts w:hint="eastAsia" w:ascii="仿宋" w:hAnsi="仿宋" w:eastAsia="仿宋" w:cs="仿宋"/>
          <w:b/>
          <w:sz w:val="24"/>
        </w:rPr>
        <w:t>一、资格和符合性审查：</w:t>
      </w:r>
    </w:p>
    <w:tbl>
      <w:tblPr>
        <w:tblStyle w:val="9"/>
        <w:tblW w:w="86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vAlign w:val="center"/>
          </w:tcPr>
          <w:p>
            <w:pPr>
              <w:pStyle w:val="7"/>
              <w:spacing w:line="480" w:lineRule="exact"/>
              <w:jc w:val="center"/>
              <w:rPr>
                <w:rFonts w:hint="eastAsia" w:ascii="仿宋" w:hAnsi="仿宋" w:eastAsia="仿宋" w:cs="仿宋"/>
                <w:b/>
                <w:sz w:val="24"/>
              </w:rPr>
            </w:pPr>
            <w:r>
              <w:rPr>
                <w:rFonts w:hint="eastAsia" w:ascii="仿宋" w:hAnsi="仿宋" w:eastAsia="仿宋" w:cs="仿宋"/>
                <w:b/>
                <w:sz w:val="24"/>
              </w:rPr>
              <w:t>审查项目</w:t>
            </w:r>
          </w:p>
        </w:tc>
        <w:tc>
          <w:tcPr>
            <w:tcW w:w="6030" w:type="dxa"/>
            <w:vAlign w:val="center"/>
          </w:tcPr>
          <w:p>
            <w:pPr>
              <w:pStyle w:val="7"/>
              <w:spacing w:line="480" w:lineRule="exact"/>
              <w:jc w:val="center"/>
              <w:rPr>
                <w:rFonts w:hint="eastAsia" w:ascii="仿宋" w:hAnsi="仿宋" w:eastAsia="仿宋" w:cs="仿宋"/>
                <w:b/>
                <w:sz w:val="24"/>
              </w:rPr>
            </w:pPr>
            <w:r>
              <w:rPr>
                <w:rFonts w:hint="eastAsia" w:ascii="仿宋" w:hAnsi="仿宋" w:eastAsia="仿宋" w:cs="仿宋"/>
                <w:b/>
                <w:sz w:val="24"/>
              </w:rPr>
              <w:t>审查要求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vAlign w:val="center"/>
          </w:tcPr>
          <w:p>
            <w:pPr>
              <w:pStyle w:val="7"/>
              <w:spacing w:line="480" w:lineRule="exact"/>
              <w:jc w:val="center"/>
              <w:rPr>
                <w:rFonts w:hint="eastAsia" w:ascii="仿宋" w:hAnsi="仿宋" w:eastAsia="仿宋" w:cs="仿宋"/>
                <w:b/>
                <w:sz w:val="24"/>
              </w:rPr>
            </w:pPr>
            <w:r>
              <w:rPr>
                <w:rFonts w:hint="eastAsia" w:ascii="仿宋" w:hAnsi="仿宋" w:eastAsia="仿宋" w:cs="仿宋"/>
                <w:b/>
                <w:sz w:val="24"/>
              </w:rPr>
              <w:t>资格审查</w:t>
            </w:r>
          </w:p>
        </w:tc>
        <w:tc>
          <w:tcPr>
            <w:tcW w:w="6030" w:type="dxa"/>
          </w:tcPr>
          <w:p>
            <w:pPr>
              <w:numPr>
                <w:ilvl w:val="0"/>
                <w:numId w:val="4"/>
              </w:numPr>
              <w:spacing w:line="480" w:lineRule="exact"/>
              <w:ind w:left="0" w:firstLine="0"/>
              <w:jc w:val="left"/>
              <w:rPr>
                <w:rFonts w:hint="eastAsia" w:ascii="仿宋" w:hAnsi="仿宋" w:eastAsia="仿宋" w:cs="仿宋"/>
                <w:sz w:val="24"/>
                <w:szCs w:val="24"/>
              </w:rPr>
            </w:pPr>
            <w:r>
              <w:rPr>
                <w:rFonts w:hint="eastAsia" w:ascii="仿宋" w:hAnsi="仿宋" w:eastAsia="仿宋" w:cs="仿宋"/>
                <w:sz w:val="24"/>
                <w:szCs w:val="24"/>
              </w:rPr>
              <w:t>投标人应当具备《政府采购法》第二十二条规定的条件；</w:t>
            </w:r>
          </w:p>
          <w:p>
            <w:pPr>
              <w:numPr>
                <w:ilvl w:val="0"/>
                <w:numId w:val="4"/>
              </w:numPr>
              <w:spacing w:line="480" w:lineRule="exact"/>
              <w:ind w:left="0" w:firstLine="0"/>
              <w:jc w:val="left"/>
              <w:rPr>
                <w:rFonts w:hint="eastAsia" w:ascii="仿宋" w:hAnsi="仿宋" w:eastAsia="仿宋" w:cs="仿宋"/>
                <w:sz w:val="24"/>
                <w:szCs w:val="24"/>
              </w:rPr>
            </w:pPr>
            <w:r>
              <w:rPr>
                <w:rFonts w:hint="eastAsia" w:ascii="仿宋" w:hAnsi="仿宋" w:eastAsia="仿宋" w:cs="仿宋"/>
                <w:sz w:val="24"/>
                <w:szCs w:val="24"/>
              </w:rPr>
              <w:t>投标人应当是具合法经营资格的法人、其他组织、自然人或者经总公司授权的分支机构，具有良好的信誉；</w:t>
            </w:r>
          </w:p>
          <w:p>
            <w:pPr>
              <w:numPr>
                <w:ilvl w:val="0"/>
                <w:numId w:val="4"/>
              </w:numPr>
              <w:wordWrap w:val="0"/>
              <w:spacing w:line="480" w:lineRule="exact"/>
              <w:ind w:left="0" w:firstLine="0"/>
              <w:jc w:val="left"/>
              <w:rPr>
                <w:rFonts w:hint="eastAsia" w:ascii="仿宋" w:hAnsi="仿宋" w:eastAsia="仿宋" w:cs="仿宋"/>
                <w:sz w:val="24"/>
                <w:szCs w:val="24"/>
              </w:rPr>
            </w:pPr>
            <w:r>
              <w:rPr>
                <w:rFonts w:hint="eastAsia" w:ascii="仿宋" w:hAnsi="仿宋" w:eastAsia="仿宋" w:cs="仿宋"/>
                <w:sz w:val="24"/>
                <w:szCs w:val="24"/>
              </w:rPr>
              <w:t>投标人未被列入“信用中国”网站（www.creditchina.gov.cn）“失信被执行人或重大税收违法案件当事人名单或政府采购严重违法失信行为”记录名单；不处于中国政府采购网（www.ccgp.gov.cn）“政府采购严重违法失信行为信息记录”中的禁止参加政府采购活动期间；</w:t>
            </w:r>
          </w:p>
          <w:p>
            <w:pPr>
              <w:numPr>
                <w:ilvl w:val="0"/>
                <w:numId w:val="4"/>
              </w:numPr>
              <w:spacing w:line="480" w:lineRule="exact"/>
              <w:ind w:left="0" w:firstLine="0"/>
              <w:jc w:val="left"/>
              <w:rPr>
                <w:rFonts w:hint="eastAsia" w:ascii="仿宋" w:hAnsi="仿宋" w:eastAsia="仿宋" w:cs="仿宋"/>
                <w:sz w:val="24"/>
                <w:szCs w:val="24"/>
              </w:rPr>
            </w:pPr>
            <w:r>
              <w:rPr>
                <w:rFonts w:hint="eastAsia" w:ascii="仿宋" w:hAnsi="仿宋" w:eastAsia="仿宋" w:cs="仿宋"/>
                <w:sz w:val="24"/>
                <w:szCs w:val="24"/>
              </w:rPr>
              <w:t>单位负责人为同一人或者存在直接控股、管理关系的不同投标人，不得参加同一合同项下的政府采购活动；</w:t>
            </w:r>
          </w:p>
          <w:p>
            <w:pPr>
              <w:numPr>
                <w:ilvl w:val="0"/>
                <w:numId w:val="4"/>
              </w:numPr>
              <w:spacing w:line="480" w:lineRule="exact"/>
              <w:ind w:left="0" w:firstLine="0"/>
              <w:jc w:val="left"/>
              <w:rPr>
                <w:rFonts w:hint="eastAsia" w:ascii="仿宋" w:hAnsi="仿宋" w:eastAsia="仿宋" w:cs="仿宋"/>
                <w:sz w:val="24"/>
              </w:rPr>
            </w:pPr>
            <w:r>
              <w:rPr>
                <w:rFonts w:hint="eastAsia" w:ascii="仿宋" w:hAnsi="仿宋" w:eastAsia="仿宋" w:cs="仿宋"/>
                <w:sz w:val="24"/>
                <w:szCs w:val="24"/>
              </w:rPr>
              <w:t>本项目不允许分包，不接受联合体投标；</w:t>
            </w:r>
          </w:p>
          <w:p>
            <w:pPr>
              <w:numPr>
                <w:ilvl w:val="0"/>
                <w:numId w:val="4"/>
              </w:numPr>
              <w:spacing w:line="480" w:lineRule="exact"/>
              <w:ind w:left="0" w:firstLine="0"/>
              <w:jc w:val="left"/>
              <w:rPr>
                <w:rFonts w:hint="eastAsia" w:ascii="仿宋" w:hAnsi="仿宋" w:eastAsia="仿宋" w:cs="仿宋"/>
                <w:sz w:val="24"/>
              </w:rPr>
            </w:pPr>
            <w:r>
              <w:rPr>
                <w:rFonts w:hint="eastAsia" w:ascii="仿宋" w:hAnsi="仿宋" w:eastAsia="仿宋" w:cs="仿宋"/>
                <w:sz w:val="24"/>
                <w:szCs w:val="24"/>
              </w:rPr>
              <w:t>投标人应当具有第二类医疗器械经营备案凭证（经营Ⅱ类医疗器械的投标人需具有）或者《医疗器械经营许可证》（经营Ⅲ类医疗器械的投标人需具有），经营范围应当涵盖所投报医疗器械的所属类别；（医疗器械注册人、备案人在其住所或者生产地址销售其注册、备案的医疗器械的除外）；</w:t>
            </w:r>
          </w:p>
          <w:p>
            <w:pPr>
              <w:numPr>
                <w:ilvl w:val="0"/>
                <w:numId w:val="4"/>
              </w:numPr>
              <w:spacing w:line="480" w:lineRule="exact"/>
              <w:ind w:left="0" w:firstLine="0"/>
              <w:jc w:val="left"/>
              <w:rPr>
                <w:rFonts w:hint="eastAsia" w:ascii="仿宋" w:hAnsi="仿宋" w:eastAsia="仿宋" w:cs="仿宋"/>
                <w:sz w:val="24"/>
              </w:rPr>
            </w:pPr>
            <w:r>
              <w:rPr>
                <w:rFonts w:hint="eastAsia" w:ascii="仿宋" w:hAnsi="仿宋" w:eastAsia="仿宋" w:cs="仿宋"/>
                <w:sz w:val="24"/>
                <w:szCs w:val="24"/>
              </w:rPr>
              <w:t>投标人所投报的医疗器械应当是具有《医疗器械注册证》的产品。</w:t>
            </w:r>
          </w:p>
          <w:p>
            <w:pPr>
              <w:numPr>
                <w:ilvl w:val="0"/>
                <w:numId w:val="4"/>
              </w:numPr>
              <w:spacing w:line="480" w:lineRule="exact"/>
              <w:ind w:left="0" w:firstLine="0"/>
              <w:jc w:val="left"/>
              <w:rPr>
                <w:rFonts w:hint="eastAsia" w:ascii="仿宋" w:hAnsi="仿宋" w:eastAsia="仿宋" w:cs="仿宋"/>
                <w:sz w:val="24"/>
              </w:rPr>
            </w:pPr>
            <w:r>
              <w:rPr>
                <w:rFonts w:hint="eastAsia" w:ascii="仿宋" w:hAnsi="仿宋" w:eastAsia="仿宋" w:cs="仿宋"/>
                <w:sz w:val="24"/>
              </w:rPr>
              <w:t>本项目专门面向中小企业采购。本项目整体预留专门面向中小企业采购，参与的供应商提供的服务全部由符合政策要求的中小企业承接（中小企业包括中型企业、小型企业和微型企业。监狱企业、残疾人福利性单位视同小型、微型企业）；（中小企业需提供《中小企业声明函》；若供应商为监狱企业，则提供由省级以上监狱管理局、戒毒管理局（含新疆生产建设兵团）出具的属于监狱企业的证明文件；若供应商为残疾人福利性单位，则提供《残疾人福利性单位声明函》）。</w:t>
            </w:r>
          </w:p>
          <w:p>
            <w:pPr>
              <w:numPr>
                <w:ilvl w:val="0"/>
                <w:numId w:val="0"/>
              </w:numPr>
              <w:spacing w:line="480" w:lineRule="exact"/>
              <w:ind w:leftChars="0"/>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2" w:type="dxa"/>
            <w:vAlign w:val="center"/>
          </w:tcPr>
          <w:p>
            <w:pPr>
              <w:pStyle w:val="7"/>
              <w:spacing w:line="480" w:lineRule="exact"/>
              <w:jc w:val="center"/>
              <w:rPr>
                <w:rFonts w:hint="eastAsia" w:ascii="仿宋" w:hAnsi="仿宋" w:eastAsia="仿宋" w:cs="仿宋"/>
                <w:b/>
                <w:sz w:val="24"/>
              </w:rPr>
            </w:pPr>
            <w:r>
              <w:rPr>
                <w:rFonts w:hint="eastAsia" w:ascii="仿宋" w:hAnsi="仿宋" w:eastAsia="仿宋" w:cs="仿宋"/>
                <w:b/>
                <w:sz w:val="24"/>
              </w:rPr>
              <w:t>符合性审查</w:t>
            </w:r>
          </w:p>
        </w:tc>
        <w:tc>
          <w:tcPr>
            <w:tcW w:w="6030" w:type="dxa"/>
          </w:tcPr>
          <w:p>
            <w:pPr>
              <w:spacing w:line="480" w:lineRule="exact"/>
              <w:rPr>
                <w:rFonts w:hint="eastAsia" w:ascii="仿宋" w:hAnsi="仿宋" w:eastAsia="仿宋" w:cs="仿宋"/>
                <w:sz w:val="24"/>
                <w:szCs w:val="24"/>
              </w:rPr>
            </w:pPr>
            <w:r>
              <w:rPr>
                <w:rFonts w:hint="eastAsia" w:ascii="仿宋" w:hAnsi="仿宋" w:eastAsia="仿宋" w:cs="仿宋"/>
                <w:sz w:val="24"/>
                <w:szCs w:val="24"/>
              </w:rPr>
              <w:t>1、投标文件按照招标文件规定要求签署、盖章。</w:t>
            </w:r>
          </w:p>
          <w:p>
            <w:pPr>
              <w:spacing w:line="480" w:lineRule="exact"/>
              <w:rPr>
                <w:rFonts w:hint="eastAsia" w:ascii="仿宋" w:hAnsi="仿宋" w:eastAsia="仿宋" w:cs="仿宋"/>
                <w:sz w:val="24"/>
                <w:szCs w:val="24"/>
              </w:rPr>
            </w:pPr>
            <w:r>
              <w:rPr>
                <w:rFonts w:hint="eastAsia" w:ascii="仿宋" w:hAnsi="仿宋" w:eastAsia="仿宋" w:cs="仿宋"/>
                <w:sz w:val="24"/>
                <w:szCs w:val="24"/>
              </w:rPr>
              <w:t>2、投标报价符合招标文件规定的报价要求。</w:t>
            </w:r>
          </w:p>
          <w:p>
            <w:pPr>
              <w:spacing w:line="480" w:lineRule="exact"/>
              <w:rPr>
                <w:rFonts w:hint="eastAsia" w:ascii="仿宋" w:hAnsi="仿宋" w:eastAsia="仿宋" w:cs="仿宋"/>
                <w:sz w:val="24"/>
                <w:szCs w:val="24"/>
              </w:rPr>
            </w:pPr>
            <w:r>
              <w:rPr>
                <w:rFonts w:hint="eastAsia" w:ascii="仿宋" w:hAnsi="仿宋" w:eastAsia="仿宋" w:cs="仿宋"/>
                <w:sz w:val="24"/>
                <w:szCs w:val="24"/>
              </w:rPr>
              <w:t>3、投标有效期符合招标文件要求。</w:t>
            </w:r>
          </w:p>
          <w:p>
            <w:pPr>
              <w:spacing w:line="480" w:lineRule="exact"/>
              <w:rPr>
                <w:rFonts w:hint="eastAsia" w:ascii="仿宋" w:hAnsi="仿宋" w:eastAsia="仿宋" w:cs="仿宋"/>
                <w:sz w:val="24"/>
                <w:szCs w:val="24"/>
              </w:rPr>
            </w:pPr>
            <w:r>
              <w:rPr>
                <w:rFonts w:hint="eastAsia" w:ascii="仿宋" w:hAnsi="仿宋" w:eastAsia="仿宋" w:cs="仿宋"/>
                <w:sz w:val="24"/>
                <w:szCs w:val="24"/>
              </w:rPr>
              <w:t>4、投标文件不存在招标文件或法规明确规定的其他无效投标情形。</w:t>
            </w:r>
          </w:p>
        </w:tc>
      </w:tr>
    </w:tbl>
    <w:p>
      <w:pPr>
        <w:pStyle w:val="4"/>
        <w:numPr>
          <w:ilvl w:val="0"/>
          <w:numId w:val="0"/>
        </w:numPr>
        <w:spacing w:line="400" w:lineRule="exact"/>
        <w:jc w:val="center"/>
        <w:rPr>
          <w:rFonts w:hint="eastAsia" w:ascii="仿宋" w:hAnsi="仿宋" w:eastAsia="仿宋" w:cs="仿宋"/>
        </w:rPr>
      </w:pPr>
      <w:r>
        <w:rPr>
          <w:rFonts w:hint="eastAsia" w:ascii="仿宋" w:hAnsi="仿宋" w:eastAsia="仿宋" w:cs="仿宋"/>
        </w:rPr>
        <w:t>评审方法</w:t>
      </w:r>
    </w:p>
    <w:p>
      <w:pPr>
        <w:rPr>
          <w:rFonts w:hint="eastAsia" w:ascii="仿宋" w:hAnsi="仿宋" w:eastAsia="仿宋" w:cs="仿宋"/>
        </w:rPr>
      </w:pPr>
    </w:p>
    <w:tbl>
      <w:tblPr>
        <w:tblStyle w:val="9"/>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177"/>
        <w:gridCol w:w="753"/>
        <w:gridCol w:w="6450"/>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35"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类别</w:t>
            </w:r>
          </w:p>
        </w:tc>
        <w:tc>
          <w:tcPr>
            <w:tcW w:w="117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计分因素</w:t>
            </w:r>
          </w:p>
        </w:tc>
        <w:tc>
          <w:tcPr>
            <w:tcW w:w="753"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分值</w:t>
            </w:r>
          </w:p>
        </w:tc>
        <w:tc>
          <w:tcPr>
            <w:tcW w:w="6450"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评分标准</w:t>
            </w:r>
          </w:p>
        </w:tc>
        <w:tc>
          <w:tcPr>
            <w:tcW w:w="74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35"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总分</w:t>
            </w:r>
          </w:p>
        </w:tc>
        <w:tc>
          <w:tcPr>
            <w:tcW w:w="117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分值构成</w:t>
            </w:r>
          </w:p>
        </w:tc>
        <w:tc>
          <w:tcPr>
            <w:tcW w:w="753"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100分</w:t>
            </w:r>
          </w:p>
        </w:tc>
        <w:tc>
          <w:tcPr>
            <w:tcW w:w="6450" w:type="dxa"/>
            <w:noWrap w:val="0"/>
            <w:vAlign w:val="center"/>
          </w:tcPr>
          <w:p>
            <w:pPr>
              <w:spacing w:line="320" w:lineRule="exact"/>
              <w:ind w:right="105" w:rightChars="50"/>
              <w:rPr>
                <w:rFonts w:hint="eastAsia" w:ascii="仿宋" w:hAnsi="仿宋" w:eastAsia="仿宋" w:cs="仿宋"/>
                <w:szCs w:val="21"/>
              </w:rPr>
            </w:pPr>
            <w:r>
              <w:rPr>
                <w:rFonts w:hint="eastAsia" w:ascii="仿宋" w:hAnsi="仿宋" w:eastAsia="仿宋" w:cs="仿宋"/>
                <w:szCs w:val="21"/>
              </w:rPr>
              <w:t>响应报价：40分</w:t>
            </w:r>
          </w:p>
          <w:p>
            <w:pPr>
              <w:spacing w:line="320" w:lineRule="exact"/>
              <w:ind w:right="105" w:rightChars="50"/>
              <w:rPr>
                <w:rFonts w:hint="eastAsia" w:ascii="仿宋" w:hAnsi="仿宋" w:eastAsia="仿宋" w:cs="仿宋"/>
                <w:szCs w:val="21"/>
              </w:rPr>
            </w:pPr>
            <w:r>
              <w:rPr>
                <w:rFonts w:hint="eastAsia" w:ascii="仿宋" w:hAnsi="仿宋" w:eastAsia="仿宋" w:cs="仿宋"/>
                <w:szCs w:val="21"/>
              </w:rPr>
              <w:t>商务部分：10分</w:t>
            </w:r>
          </w:p>
          <w:p>
            <w:pPr>
              <w:spacing w:line="320" w:lineRule="exact"/>
              <w:rPr>
                <w:rFonts w:hint="eastAsia" w:ascii="仿宋" w:hAnsi="仿宋" w:eastAsia="仿宋" w:cs="仿宋"/>
                <w:szCs w:val="21"/>
              </w:rPr>
            </w:pPr>
            <w:r>
              <w:rPr>
                <w:rFonts w:hint="eastAsia" w:ascii="仿宋" w:hAnsi="仿宋" w:eastAsia="仿宋" w:cs="仿宋"/>
                <w:szCs w:val="21"/>
              </w:rPr>
              <w:t>技术部分：50分</w:t>
            </w:r>
          </w:p>
        </w:tc>
        <w:tc>
          <w:tcPr>
            <w:tcW w:w="744" w:type="dxa"/>
            <w:noWrap w:val="0"/>
            <w:vAlign w:val="center"/>
          </w:tcPr>
          <w:p>
            <w:pPr>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35" w:type="dxa"/>
            <w:noWrap w:val="0"/>
            <w:vAlign w:val="center"/>
          </w:tcPr>
          <w:p>
            <w:pPr>
              <w:spacing w:line="440" w:lineRule="exact"/>
              <w:ind w:left="6" w:hanging="6"/>
              <w:jc w:val="center"/>
              <w:rPr>
                <w:rFonts w:hint="eastAsia" w:ascii="仿宋" w:hAnsi="仿宋" w:eastAsia="仿宋" w:cs="仿宋"/>
                <w:sz w:val="24"/>
              </w:rPr>
            </w:pPr>
            <w:r>
              <w:rPr>
                <w:rFonts w:hint="eastAsia" w:ascii="仿宋" w:hAnsi="仿宋" w:eastAsia="仿宋" w:cs="仿宋"/>
                <w:sz w:val="24"/>
              </w:rPr>
              <w:t>报价部分</w:t>
            </w:r>
            <w:r>
              <w:rPr>
                <w:rFonts w:hint="eastAsia" w:ascii="仿宋" w:hAnsi="仿宋" w:eastAsia="仿宋" w:cs="仿宋"/>
                <w:sz w:val="24"/>
                <w:lang w:val="en-US" w:eastAsia="zh-CN"/>
              </w:rPr>
              <w:t>4</w:t>
            </w:r>
            <w:r>
              <w:rPr>
                <w:rFonts w:hint="eastAsia" w:ascii="仿宋" w:hAnsi="仿宋" w:eastAsia="仿宋" w:cs="仿宋"/>
                <w:sz w:val="24"/>
              </w:rPr>
              <w:t>0分</w:t>
            </w:r>
          </w:p>
        </w:tc>
        <w:tc>
          <w:tcPr>
            <w:tcW w:w="117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项目   总报价</w:t>
            </w:r>
          </w:p>
        </w:tc>
        <w:tc>
          <w:tcPr>
            <w:tcW w:w="753"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0分</w:t>
            </w:r>
          </w:p>
        </w:tc>
        <w:tc>
          <w:tcPr>
            <w:tcW w:w="6450" w:type="dxa"/>
            <w:noWrap w:val="0"/>
            <w:vAlign w:val="center"/>
          </w:tcPr>
          <w:p>
            <w:pPr>
              <w:spacing w:line="320" w:lineRule="exact"/>
              <w:ind w:right="105" w:rightChars="50"/>
              <w:rPr>
                <w:rFonts w:hint="eastAsia" w:ascii="仿宋" w:hAnsi="仿宋" w:eastAsia="仿宋" w:cs="仿宋"/>
                <w:szCs w:val="21"/>
              </w:rPr>
            </w:pPr>
          </w:p>
          <w:p>
            <w:pPr>
              <w:spacing w:line="360" w:lineRule="exact"/>
              <w:ind w:right="105" w:rightChars="50"/>
              <w:rPr>
                <w:rFonts w:hint="eastAsia" w:ascii="仿宋" w:hAnsi="仿宋" w:eastAsia="仿宋" w:cs="仿宋"/>
              </w:rPr>
            </w:pPr>
            <w:r>
              <w:rPr>
                <w:rFonts w:hint="eastAsia" w:ascii="仿宋" w:hAnsi="仿宋" w:eastAsia="仿宋" w:cs="仿宋"/>
              </w:rPr>
              <w:t>响应报价最后得分＝P/T×</w:t>
            </w:r>
            <w:r>
              <w:rPr>
                <w:rFonts w:hint="eastAsia" w:ascii="仿宋" w:hAnsi="仿宋" w:eastAsia="仿宋" w:cs="仿宋"/>
                <w:lang w:val="en-US" w:eastAsia="zh-CN"/>
              </w:rPr>
              <w:t>4</w:t>
            </w:r>
            <w:r>
              <w:rPr>
                <w:rFonts w:hint="eastAsia" w:ascii="仿宋" w:hAnsi="仿宋" w:eastAsia="仿宋" w:cs="仿宋"/>
              </w:rPr>
              <w:t>0</w:t>
            </w:r>
          </w:p>
          <w:p>
            <w:pPr>
              <w:spacing w:line="360" w:lineRule="exact"/>
              <w:ind w:right="105" w:rightChars="50"/>
              <w:rPr>
                <w:rFonts w:hint="eastAsia" w:ascii="仿宋" w:hAnsi="仿宋" w:eastAsia="仿宋" w:cs="仿宋"/>
              </w:rPr>
            </w:pPr>
            <w:r>
              <w:rPr>
                <w:rFonts w:hint="eastAsia" w:ascii="仿宋" w:hAnsi="仿宋" w:eastAsia="仿宋" w:cs="仿宋"/>
              </w:rPr>
              <w:t>其中P为有效响应人响应总报价的最低价，T为各响应人的响应文件总报价。</w:t>
            </w:r>
          </w:p>
          <w:p>
            <w:pPr>
              <w:spacing w:line="320" w:lineRule="exact"/>
              <w:ind w:right="105" w:rightChars="50"/>
              <w:rPr>
                <w:rFonts w:hint="eastAsia" w:ascii="仿宋" w:hAnsi="仿宋" w:eastAsia="仿宋" w:cs="仿宋"/>
                <w:szCs w:val="21"/>
              </w:rPr>
            </w:pPr>
          </w:p>
        </w:tc>
        <w:tc>
          <w:tcPr>
            <w:tcW w:w="744" w:type="dxa"/>
            <w:noWrap w:val="0"/>
            <w:vAlign w:val="center"/>
          </w:tcPr>
          <w:p>
            <w:pPr>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35" w:type="dxa"/>
            <w:vMerge w:val="restart"/>
            <w:noWrap w:val="0"/>
            <w:vAlign w:val="center"/>
          </w:tcPr>
          <w:p>
            <w:pPr>
              <w:spacing w:line="440" w:lineRule="exact"/>
              <w:ind w:left="6" w:hanging="6"/>
              <w:jc w:val="center"/>
              <w:rPr>
                <w:rFonts w:hint="eastAsia" w:ascii="仿宋" w:hAnsi="仿宋" w:eastAsia="仿宋" w:cs="仿宋"/>
                <w:sz w:val="24"/>
              </w:rPr>
            </w:pPr>
            <w:r>
              <w:rPr>
                <w:rFonts w:hint="eastAsia" w:ascii="仿宋" w:hAnsi="仿宋" w:eastAsia="仿宋" w:cs="仿宋"/>
                <w:sz w:val="24"/>
              </w:rPr>
              <w:t>商务部分</w:t>
            </w:r>
            <w:r>
              <w:rPr>
                <w:rFonts w:hint="eastAsia" w:ascii="仿宋" w:hAnsi="仿宋" w:eastAsia="仿宋" w:cs="仿宋"/>
                <w:sz w:val="24"/>
                <w:lang w:val="en-US" w:eastAsia="zh-CN"/>
              </w:rPr>
              <w:t>10</w:t>
            </w:r>
            <w:r>
              <w:rPr>
                <w:rFonts w:hint="eastAsia" w:ascii="仿宋" w:hAnsi="仿宋" w:eastAsia="仿宋" w:cs="仿宋"/>
                <w:sz w:val="24"/>
              </w:rPr>
              <w:t>分</w:t>
            </w:r>
          </w:p>
        </w:tc>
        <w:tc>
          <w:tcPr>
            <w:tcW w:w="117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企业实力</w:t>
            </w:r>
          </w:p>
        </w:tc>
        <w:tc>
          <w:tcPr>
            <w:tcW w:w="753"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分</w:t>
            </w:r>
          </w:p>
        </w:tc>
        <w:tc>
          <w:tcPr>
            <w:tcW w:w="6450" w:type="dxa"/>
            <w:noWrap w:val="0"/>
            <w:vAlign w:val="top"/>
          </w:tcPr>
          <w:p>
            <w:pPr>
              <w:widowControl/>
              <w:shd w:val="clear" w:color="auto" w:fill="FFFFFF"/>
              <w:spacing w:line="320" w:lineRule="exact"/>
              <w:jc w:val="left"/>
              <w:rPr>
                <w:rFonts w:hint="eastAsia" w:ascii="仿宋" w:hAnsi="仿宋" w:eastAsia="仿宋" w:cs="仿宋"/>
                <w:b/>
                <w:bCs/>
                <w:kern w:val="0"/>
                <w:szCs w:val="21"/>
              </w:rPr>
            </w:pPr>
            <w:r>
              <w:rPr>
                <w:rFonts w:hint="eastAsia" w:ascii="仿宋" w:hAnsi="仿宋" w:eastAsia="仿宋" w:cs="仿宋"/>
                <w:kern w:val="0"/>
                <w:szCs w:val="21"/>
              </w:rPr>
              <w:t>评审委员会根据响应人在响应文件</w:t>
            </w:r>
            <w:r>
              <w:rPr>
                <w:rFonts w:hint="eastAsia" w:ascii="仿宋" w:hAnsi="仿宋" w:eastAsia="仿宋" w:cs="仿宋"/>
                <w:kern w:val="0"/>
                <w:szCs w:val="21"/>
                <w:lang w:val="en-US" w:eastAsia="zh-CN"/>
              </w:rPr>
              <w:t>5</w:t>
            </w:r>
            <w:r>
              <w:rPr>
                <w:rFonts w:hint="eastAsia" w:ascii="仿宋" w:hAnsi="仿宋" w:eastAsia="仿宋" w:cs="仿宋"/>
                <w:kern w:val="0"/>
                <w:szCs w:val="21"/>
              </w:rPr>
              <w:t>.</w:t>
            </w:r>
            <w:r>
              <w:rPr>
                <w:rFonts w:hint="eastAsia" w:ascii="仿宋" w:hAnsi="仿宋" w:eastAsia="仿宋" w:cs="仿宋"/>
                <w:kern w:val="0"/>
                <w:szCs w:val="21"/>
                <w:lang w:val="en-US" w:eastAsia="zh-CN"/>
              </w:rPr>
              <w:t>3</w:t>
            </w:r>
            <w:r>
              <w:rPr>
                <w:rFonts w:hint="eastAsia" w:ascii="仿宋" w:hAnsi="仿宋" w:eastAsia="仿宋" w:cs="仿宋"/>
                <w:kern w:val="0"/>
                <w:szCs w:val="21"/>
              </w:rPr>
              <w:t>中给出的企业简介和团队力量（项目团队力量是否雄厚、项目组织结构是否合理、人员分工是否明确及人员职责是否清晰）进行综合打分。</w:t>
            </w:r>
          </w:p>
        </w:tc>
        <w:tc>
          <w:tcPr>
            <w:tcW w:w="744" w:type="dxa"/>
            <w:noWrap w:val="0"/>
            <w:vAlign w:val="center"/>
          </w:tcPr>
          <w:p>
            <w:pPr>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35" w:type="dxa"/>
            <w:vMerge w:val="continue"/>
            <w:noWrap w:val="0"/>
            <w:vAlign w:val="center"/>
          </w:tcPr>
          <w:p>
            <w:pPr>
              <w:spacing w:line="440" w:lineRule="exact"/>
              <w:ind w:left="6" w:hanging="6"/>
              <w:jc w:val="center"/>
              <w:rPr>
                <w:rFonts w:hint="eastAsia" w:ascii="仿宋" w:hAnsi="仿宋" w:eastAsia="仿宋" w:cs="仿宋"/>
                <w:sz w:val="24"/>
              </w:rPr>
            </w:pPr>
          </w:p>
        </w:tc>
        <w:tc>
          <w:tcPr>
            <w:tcW w:w="117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合同业绩</w:t>
            </w:r>
          </w:p>
        </w:tc>
        <w:tc>
          <w:tcPr>
            <w:tcW w:w="753"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分</w:t>
            </w:r>
          </w:p>
        </w:tc>
        <w:tc>
          <w:tcPr>
            <w:tcW w:w="6450" w:type="dxa"/>
            <w:noWrap w:val="0"/>
            <w:vAlign w:val="center"/>
          </w:tcPr>
          <w:p>
            <w:pPr>
              <w:spacing w:line="320" w:lineRule="exact"/>
              <w:rPr>
                <w:rFonts w:hint="eastAsia" w:ascii="仿宋" w:hAnsi="仿宋" w:eastAsia="仿宋" w:cs="仿宋"/>
                <w:szCs w:val="21"/>
              </w:rPr>
            </w:pPr>
            <w:r>
              <w:rPr>
                <w:rFonts w:hint="eastAsia" w:ascii="仿宋" w:hAnsi="仿宋" w:eastAsia="仿宋" w:cs="仿宋"/>
                <w:szCs w:val="21"/>
              </w:rPr>
              <w:t>每提供一份近三年以来类似业绩合同得2分，最高得</w:t>
            </w:r>
            <w:r>
              <w:rPr>
                <w:rFonts w:hint="eastAsia" w:ascii="仿宋" w:hAnsi="仿宋" w:eastAsia="仿宋" w:cs="仿宋"/>
                <w:szCs w:val="21"/>
                <w:lang w:val="en-US" w:eastAsia="zh-CN"/>
              </w:rPr>
              <w:t>6</w:t>
            </w:r>
            <w:r>
              <w:rPr>
                <w:rFonts w:hint="eastAsia" w:ascii="仿宋" w:hAnsi="仿宋" w:eastAsia="仿宋" w:cs="仿宋"/>
                <w:szCs w:val="21"/>
              </w:rPr>
              <w:t>分。（合同复印件附到遴选响应文件内）</w:t>
            </w:r>
          </w:p>
        </w:tc>
        <w:tc>
          <w:tcPr>
            <w:tcW w:w="744" w:type="dxa"/>
            <w:noWrap w:val="0"/>
            <w:vAlign w:val="center"/>
          </w:tcPr>
          <w:p>
            <w:pPr>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35" w:type="dxa"/>
            <w:vMerge w:val="restart"/>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技术部分50分</w:t>
            </w:r>
          </w:p>
        </w:tc>
        <w:tc>
          <w:tcPr>
            <w:tcW w:w="1177"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产品的响应程度</w:t>
            </w:r>
          </w:p>
        </w:tc>
        <w:tc>
          <w:tcPr>
            <w:tcW w:w="753"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35分</w:t>
            </w:r>
          </w:p>
        </w:tc>
        <w:tc>
          <w:tcPr>
            <w:tcW w:w="6450" w:type="dxa"/>
            <w:noWrap w:val="0"/>
            <w:vAlign w:val="center"/>
          </w:tcPr>
          <w:p>
            <w:pPr>
              <w:spacing w:line="320" w:lineRule="exact"/>
              <w:outlineLvl w:val="0"/>
              <w:rPr>
                <w:rFonts w:hint="default" w:ascii="仿宋" w:hAnsi="仿宋" w:eastAsia="仿宋" w:cs="仿宋"/>
                <w:szCs w:val="21"/>
                <w:lang w:val="en-US" w:eastAsia="zh-CN"/>
              </w:rPr>
            </w:pPr>
            <w:r>
              <w:rPr>
                <w:rFonts w:hint="eastAsia" w:ascii="仿宋" w:hAnsi="仿宋" w:eastAsia="仿宋" w:cs="仿宋"/>
                <w:szCs w:val="21"/>
              </w:rPr>
              <w:t>评审专家根据遴选文件“技术要求”中技术条款和</w:t>
            </w:r>
            <w:r>
              <w:rPr>
                <w:rFonts w:hint="eastAsia" w:ascii="仿宋" w:hAnsi="仿宋" w:eastAsia="仿宋" w:cs="仿宋"/>
                <w:color w:val="000000"/>
              </w:rPr>
              <w:t>技术白皮书或彩页的响应技术参数、检验报告、</w:t>
            </w:r>
            <w:r>
              <w:rPr>
                <w:rFonts w:hint="eastAsia" w:ascii="仿宋" w:hAnsi="仿宋" w:eastAsia="仿宋" w:cs="仿宋"/>
                <w:color w:val="000000"/>
                <w:lang w:val="en-US" w:eastAsia="zh-CN"/>
              </w:rPr>
              <w:t>规格参数偏离表等</w:t>
            </w:r>
            <w:r>
              <w:rPr>
                <w:rFonts w:hint="eastAsia" w:ascii="仿宋" w:hAnsi="仿宋" w:eastAsia="仿宋" w:cs="仿宋"/>
                <w:szCs w:val="21"/>
              </w:rPr>
              <w:t>进行综合打分。</w:t>
            </w:r>
            <w:r>
              <w:rPr>
                <w:rFonts w:hint="eastAsia" w:ascii="仿宋" w:hAnsi="仿宋" w:eastAsia="仿宋" w:cs="仿宋"/>
                <w:szCs w:val="21"/>
                <w:lang w:val="en-US" w:eastAsia="zh-CN"/>
              </w:rPr>
              <w:t>对应技术条款负偏离每款扣两分。</w:t>
            </w:r>
          </w:p>
        </w:tc>
        <w:tc>
          <w:tcPr>
            <w:tcW w:w="744" w:type="dxa"/>
            <w:noWrap w:val="0"/>
            <w:vAlign w:val="center"/>
          </w:tcPr>
          <w:p>
            <w:pPr>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35" w:type="dxa"/>
            <w:vMerge w:val="continue"/>
            <w:noWrap w:val="0"/>
            <w:vAlign w:val="center"/>
          </w:tcPr>
          <w:p>
            <w:pPr>
              <w:spacing w:line="440" w:lineRule="exact"/>
              <w:rPr>
                <w:rFonts w:hint="eastAsia" w:ascii="仿宋" w:hAnsi="仿宋" w:eastAsia="仿宋" w:cs="仿宋"/>
                <w:sz w:val="24"/>
              </w:rPr>
            </w:pPr>
          </w:p>
        </w:tc>
        <w:tc>
          <w:tcPr>
            <w:tcW w:w="1177" w:type="dxa"/>
            <w:noWrap w:val="0"/>
            <w:vAlign w:val="center"/>
          </w:tcPr>
          <w:p>
            <w:pPr>
              <w:spacing w:line="440" w:lineRule="exact"/>
              <w:rPr>
                <w:rFonts w:hint="eastAsia" w:ascii="仿宋" w:hAnsi="仿宋" w:eastAsia="仿宋" w:cs="仿宋"/>
                <w:sz w:val="24"/>
              </w:rPr>
            </w:pPr>
            <w:r>
              <w:rPr>
                <w:rFonts w:hint="eastAsia" w:ascii="仿宋" w:hAnsi="仿宋" w:eastAsia="仿宋" w:cs="仿宋"/>
                <w:sz w:val="24"/>
                <w:lang w:val="en-US" w:eastAsia="zh-CN"/>
              </w:rPr>
              <w:t>售后</w:t>
            </w:r>
            <w:r>
              <w:rPr>
                <w:rFonts w:hint="eastAsia" w:ascii="仿宋" w:hAnsi="仿宋" w:eastAsia="仿宋" w:cs="仿宋"/>
                <w:sz w:val="24"/>
              </w:rPr>
              <w:t>服务方案</w:t>
            </w:r>
          </w:p>
        </w:tc>
        <w:tc>
          <w:tcPr>
            <w:tcW w:w="753"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15分</w:t>
            </w:r>
          </w:p>
        </w:tc>
        <w:tc>
          <w:tcPr>
            <w:tcW w:w="6450" w:type="dxa"/>
            <w:noWrap w:val="0"/>
            <w:vAlign w:val="center"/>
          </w:tcPr>
          <w:p>
            <w:pPr>
              <w:spacing w:line="320" w:lineRule="exact"/>
              <w:rPr>
                <w:rFonts w:hint="eastAsia" w:ascii="仿宋" w:hAnsi="仿宋" w:eastAsia="仿宋" w:cs="仿宋"/>
                <w:szCs w:val="21"/>
              </w:rPr>
            </w:pPr>
            <w:r>
              <w:rPr>
                <w:rFonts w:hint="eastAsia" w:ascii="仿宋" w:hAnsi="仿宋" w:eastAsia="仿宋" w:cs="仿宋"/>
                <w:szCs w:val="21"/>
              </w:rPr>
              <w:t>评审委员会根据响应人在</w:t>
            </w:r>
            <w:r>
              <w:rPr>
                <w:rFonts w:hint="eastAsia" w:ascii="仿宋" w:hAnsi="仿宋" w:eastAsia="仿宋" w:cs="仿宋"/>
                <w:kern w:val="0"/>
                <w:szCs w:val="21"/>
              </w:rPr>
              <w:t>响应文件中给出的</w:t>
            </w:r>
            <w:r>
              <w:rPr>
                <w:rFonts w:hint="eastAsia" w:ascii="仿宋" w:hAnsi="仿宋" w:eastAsia="仿宋" w:cs="仿宋"/>
                <w:szCs w:val="21"/>
              </w:rPr>
              <w:t>响应时间</w:t>
            </w:r>
            <w:r>
              <w:rPr>
                <w:rFonts w:hint="eastAsia" w:ascii="仿宋" w:hAnsi="仿宋" w:eastAsia="仿宋" w:cs="仿宋"/>
                <w:kern w:val="0"/>
                <w:szCs w:val="21"/>
              </w:rPr>
              <w:t>和保证措施落实到位的承诺以及技术及售后服务等其他</w:t>
            </w:r>
            <w:r>
              <w:rPr>
                <w:rFonts w:hint="eastAsia" w:ascii="仿宋" w:hAnsi="仿宋" w:eastAsia="仿宋" w:cs="仿宋"/>
                <w:szCs w:val="21"/>
              </w:rPr>
              <w:t>服务方案</w:t>
            </w:r>
            <w:r>
              <w:rPr>
                <w:rFonts w:hint="eastAsia" w:ascii="仿宋" w:hAnsi="仿宋" w:eastAsia="仿宋" w:cs="仿宋"/>
                <w:kern w:val="0"/>
                <w:szCs w:val="21"/>
              </w:rPr>
              <w:t>进行</w:t>
            </w:r>
            <w:r>
              <w:rPr>
                <w:rFonts w:hint="eastAsia" w:ascii="仿宋" w:hAnsi="仿宋" w:eastAsia="仿宋" w:cs="仿宋"/>
                <w:szCs w:val="21"/>
              </w:rPr>
              <w:t>综合</w:t>
            </w:r>
            <w:r>
              <w:rPr>
                <w:rFonts w:hint="eastAsia" w:ascii="仿宋" w:hAnsi="仿宋" w:eastAsia="仿宋" w:cs="仿宋"/>
                <w:kern w:val="0"/>
                <w:szCs w:val="21"/>
              </w:rPr>
              <w:t>打分</w:t>
            </w:r>
            <w:r>
              <w:rPr>
                <w:rFonts w:hint="eastAsia" w:ascii="仿宋" w:hAnsi="仿宋" w:eastAsia="仿宋" w:cs="仿宋"/>
                <w:szCs w:val="21"/>
              </w:rPr>
              <w:t>。</w:t>
            </w:r>
          </w:p>
        </w:tc>
        <w:tc>
          <w:tcPr>
            <w:tcW w:w="744" w:type="dxa"/>
            <w:noWrap w:val="0"/>
            <w:vAlign w:val="center"/>
          </w:tcPr>
          <w:p>
            <w:pPr>
              <w:spacing w:line="440" w:lineRule="exact"/>
              <w:rPr>
                <w:rFonts w:hint="eastAsia" w:ascii="仿宋" w:hAnsi="仿宋" w:eastAsia="仿宋" w:cs="仿宋"/>
                <w:sz w:val="24"/>
              </w:rPr>
            </w:pPr>
          </w:p>
        </w:tc>
      </w:tr>
    </w:tbl>
    <w:p>
      <w:pPr>
        <w:spacing w:line="400" w:lineRule="exact"/>
        <w:rPr>
          <w:rFonts w:hint="eastAsia" w:ascii="仿宋" w:hAnsi="仿宋" w:eastAsia="仿宋" w:cs="仿宋"/>
          <w:sz w:val="24"/>
        </w:rPr>
      </w:pPr>
      <w:r>
        <w:rPr>
          <w:rFonts w:hint="eastAsia" w:ascii="仿宋" w:hAnsi="仿宋" w:eastAsia="仿宋" w:cs="仿宋"/>
          <w:sz w:val="24"/>
          <w:lang w:val="zh-TW" w:eastAsia="zh-TW"/>
        </w:rPr>
        <w:t>注：</w:t>
      </w:r>
      <w:r>
        <w:rPr>
          <w:rFonts w:hint="eastAsia" w:ascii="仿宋" w:hAnsi="仿宋" w:eastAsia="仿宋" w:cs="仿宋"/>
          <w:sz w:val="24"/>
        </w:rPr>
        <w:t>①</w:t>
      </w:r>
      <w:r>
        <w:rPr>
          <w:rFonts w:hint="eastAsia" w:ascii="仿宋" w:hAnsi="仿宋" w:eastAsia="仿宋" w:cs="仿宋"/>
          <w:sz w:val="24"/>
          <w:lang w:val="zh-TW" w:eastAsia="zh-TW"/>
        </w:rPr>
        <w:t>以上各评分项，若有缺项则该项不得</w:t>
      </w:r>
      <w:r>
        <w:rPr>
          <w:rFonts w:hint="eastAsia" w:ascii="仿宋" w:hAnsi="仿宋" w:eastAsia="仿宋" w:cs="仿宋"/>
          <w:sz w:val="24"/>
          <w:lang w:val="zh-TW"/>
        </w:rPr>
        <w:t>分。</w:t>
      </w:r>
    </w:p>
    <w:p>
      <w:pPr>
        <w:autoSpaceDE w:val="0"/>
        <w:autoSpaceDN w:val="0"/>
        <w:adjustRightInd w:val="0"/>
        <w:spacing w:line="400" w:lineRule="exact"/>
        <w:ind w:firstLine="420"/>
        <w:rPr>
          <w:rFonts w:hint="eastAsia" w:ascii="仿宋" w:hAnsi="仿宋" w:eastAsia="仿宋" w:cs="仿宋"/>
          <w:sz w:val="24"/>
          <w:lang w:val="zh-TW"/>
        </w:rPr>
      </w:pPr>
      <w:r>
        <w:rPr>
          <w:rFonts w:hint="eastAsia" w:ascii="仿宋" w:hAnsi="仿宋" w:eastAsia="仿宋" w:cs="仿宋"/>
          <w:sz w:val="24"/>
        </w:rPr>
        <w:t>②</w:t>
      </w:r>
      <w:r>
        <w:rPr>
          <w:rFonts w:hint="eastAsia" w:ascii="仿宋" w:hAnsi="仿宋" w:eastAsia="仿宋" w:cs="仿宋"/>
          <w:sz w:val="24"/>
          <w:lang w:val="zh-TW" w:eastAsia="zh-TW"/>
        </w:rPr>
        <w:t>计分过程中按四舍五入的法则，最终结果取至小数点后</w:t>
      </w:r>
      <w:r>
        <w:rPr>
          <w:rFonts w:hint="eastAsia" w:ascii="仿宋" w:hAnsi="仿宋" w:eastAsia="仿宋" w:cs="仿宋"/>
          <w:sz w:val="24"/>
        </w:rPr>
        <w:t>2</w:t>
      </w:r>
      <w:r>
        <w:rPr>
          <w:rFonts w:hint="eastAsia" w:ascii="仿宋" w:hAnsi="仿宋" w:eastAsia="仿宋" w:cs="仿宋"/>
          <w:sz w:val="24"/>
          <w:lang w:val="zh-TW" w:eastAsia="zh-TW"/>
        </w:rPr>
        <w:t>位。</w:t>
      </w:r>
      <w:r>
        <w:rPr>
          <w:rFonts w:hint="eastAsia" w:ascii="仿宋" w:hAnsi="仿宋" w:eastAsia="仿宋" w:cs="仿宋"/>
          <w:kern w:val="0"/>
          <w:sz w:val="24"/>
          <w:szCs w:val="20"/>
        </w:rPr>
        <w:t>评审委员会对满足遴选文件实质性要求的遴选响应文件，按照遴选文件规定的评分标准进行打分，评分最高的为中标供应商。综合评分相等时，以响应报价得分高的优先；响应报价得分也相等时，由技术部分得分高的优先；技术部分得分也相等时，</w:t>
      </w:r>
      <w:r>
        <w:rPr>
          <w:rFonts w:hint="eastAsia" w:ascii="仿宋" w:hAnsi="仿宋" w:eastAsia="仿宋" w:cs="仿宋"/>
          <w:sz w:val="24"/>
        </w:rPr>
        <w:t>则在纪检办公室人员的监督下，随机抽取一家</w:t>
      </w:r>
      <w:r>
        <w:rPr>
          <w:rFonts w:hint="eastAsia" w:ascii="仿宋" w:hAnsi="仿宋" w:eastAsia="仿宋" w:cs="仿宋"/>
          <w:kern w:val="0"/>
          <w:sz w:val="24"/>
          <w:szCs w:val="20"/>
        </w:rPr>
        <w:t>。</w:t>
      </w:r>
    </w:p>
    <w:p>
      <w:pPr>
        <w:pStyle w:val="6"/>
        <w:rPr>
          <w:rFonts w:hint="eastAsia" w:ascii="仿宋" w:hAnsi="仿宋" w:eastAsia="仿宋" w:cs="仿宋"/>
          <w:lang w:val="zh-TW"/>
        </w:rPr>
      </w:pPr>
    </w:p>
    <w:p>
      <w:pPr>
        <w:rPr>
          <w:rFonts w:hint="eastAsia" w:ascii="仿宋" w:hAnsi="仿宋" w:eastAsia="仿宋" w:cs="仿宋"/>
          <w:b/>
          <w:sz w:val="24"/>
          <w:lang w:val="zh-TW"/>
        </w:rPr>
      </w:pPr>
    </w:p>
    <w:p>
      <w:pPr>
        <w:rPr>
          <w:rFonts w:hint="eastAsia" w:ascii="仿宋" w:hAnsi="仿宋" w:eastAsia="仿宋" w:cs="仿宋"/>
          <w:b/>
          <w:sz w:val="24"/>
          <w:lang w:val="zh-TW"/>
        </w:rPr>
      </w:pPr>
    </w:p>
    <w:p>
      <w:pPr>
        <w:numPr>
          <w:ilvl w:val="0"/>
          <w:numId w:val="0"/>
        </w:numPr>
        <w:spacing w:line="440" w:lineRule="exact"/>
        <w:rPr>
          <w:rFonts w:hint="eastAsia" w:ascii="仿宋" w:hAnsi="仿宋" w:eastAsia="仿宋" w:cs="仿宋"/>
          <w:sz w:val="28"/>
          <w:szCs w:val="28"/>
          <w:lang w:val="en-US" w:eastAsia="zh-CN"/>
        </w:rPr>
      </w:pPr>
      <w:bookmarkStart w:id="5" w:name="_GoBack"/>
      <w:bookmarkEnd w:id="5"/>
    </w:p>
    <w:p>
      <w:pPr>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chineseCountingThousand"/>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pStyle w:val="4"/>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abstractNum w:abstractNumId="1">
    <w:nsid w:val="04DA5634"/>
    <w:multiLevelType w:val="multilevel"/>
    <w:tmpl w:val="04DA5634"/>
    <w:lvl w:ilvl="0" w:tentative="0">
      <w:start w:val="1"/>
      <w:numFmt w:val="decimal"/>
      <w:lvlText w:val="%1、"/>
      <w:lvlJc w:val="left"/>
      <w:pPr>
        <w:tabs>
          <w:tab w:val="left" w:pos="765"/>
        </w:tabs>
        <w:ind w:left="765" w:hanging="360"/>
      </w:pPr>
      <w:rPr>
        <w:rFonts w:hint="eastAsia"/>
        <w:b w:val="0"/>
      </w:rPr>
    </w:lvl>
    <w:lvl w:ilvl="1" w:tentative="0">
      <w:start w:val="1"/>
      <w:numFmt w:val="decimal"/>
      <w:lvlText w:val="（%2）"/>
      <w:lvlJc w:val="left"/>
      <w:pPr>
        <w:tabs>
          <w:tab w:val="left" w:pos="1140"/>
        </w:tabs>
        <w:ind w:left="224" w:firstLine="196"/>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E2AAFE9"/>
    <w:multiLevelType w:val="singleLevel"/>
    <w:tmpl w:val="1E2AAFE9"/>
    <w:lvl w:ilvl="0" w:tentative="0">
      <w:start w:val="3"/>
      <w:numFmt w:val="decimal"/>
      <w:lvlText w:val="%1."/>
      <w:lvlJc w:val="left"/>
      <w:pPr>
        <w:tabs>
          <w:tab w:val="left" w:pos="312"/>
        </w:tabs>
      </w:pPr>
    </w:lvl>
  </w:abstractNum>
  <w:abstractNum w:abstractNumId="3">
    <w:nsid w:val="6DCE5947"/>
    <w:multiLevelType w:val="multilevel"/>
    <w:tmpl w:val="6DCE5947"/>
    <w:lvl w:ilvl="0" w:tentative="0">
      <w:start w:val="1"/>
      <w:numFmt w:val="decimal"/>
      <w:lvlText w:val="%1、"/>
      <w:lvlJc w:val="left"/>
      <w:pPr>
        <w:ind w:left="420" w:hanging="420"/>
      </w:pPr>
      <w:rPr>
        <w:rFonts w:hint="eastAsia" w:ascii="宋体" w:eastAsia="宋体"/>
        <w:b w:val="0"/>
        <w:i w:val="0"/>
        <w:sz w:val="24"/>
        <w:szCs w:val="24"/>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NWYwYzMzN2YzY2YzNDU0NDJjNTE3ZDhjZDBkMTMifQ=="/>
  </w:docVars>
  <w:rsids>
    <w:rsidRoot w:val="451D2D25"/>
    <w:rsid w:val="018362EB"/>
    <w:rsid w:val="02511F45"/>
    <w:rsid w:val="036B7036"/>
    <w:rsid w:val="09A74624"/>
    <w:rsid w:val="13F56BD4"/>
    <w:rsid w:val="143A0A8B"/>
    <w:rsid w:val="14E32ED1"/>
    <w:rsid w:val="17A10E21"/>
    <w:rsid w:val="2ABB16EC"/>
    <w:rsid w:val="2D4B52F7"/>
    <w:rsid w:val="388E310A"/>
    <w:rsid w:val="3A1F5EA9"/>
    <w:rsid w:val="3B9F72A2"/>
    <w:rsid w:val="3E6F7A10"/>
    <w:rsid w:val="451D2D25"/>
    <w:rsid w:val="458A4B1F"/>
    <w:rsid w:val="482503C7"/>
    <w:rsid w:val="505F4DFA"/>
    <w:rsid w:val="51E25CE3"/>
    <w:rsid w:val="5512068D"/>
    <w:rsid w:val="5D5F77BE"/>
    <w:rsid w:val="5E2356B9"/>
    <w:rsid w:val="63022520"/>
    <w:rsid w:val="648844C8"/>
    <w:rsid w:val="6AB64919"/>
    <w:rsid w:val="6E291EBD"/>
    <w:rsid w:val="6F235519"/>
    <w:rsid w:val="7531168A"/>
    <w:rsid w:val="781D5AF5"/>
    <w:rsid w:val="7AB9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numPr>
        <w:ilvl w:val="2"/>
        <w:numId w:val="1"/>
      </w:numPr>
      <w:adjustRightInd w:val="0"/>
      <w:spacing w:before="160" w:beforeLines="0" w:after="160" w:afterLines="0" w:line="160" w:lineRule="atLeast"/>
      <w:textAlignment w:val="baseline"/>
      <w:outlineLvl w:val="2"/>
    </w:pPr>
    <w:rPr>
      <w:rFonts w:ascii="黑体" w:eastAsia="黑体"/>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afterLines="0" w:afterAutospacing="0"/>
    </w:pPr>
  </w:style>
  <w:style w:type="paragraph" w:styleId="7">
    <w:name w:val="Plain Text"/>
    <w:basedOn w:val="1"/>
    <w:qFormat/>
    <w:uiPriority w:val="99"/>
    <w:rPr>
      <w:rFonts w:ascii="宋体" w:hAnsi="Courier New" w:eastAsia="宋体"/>
      <w:sz w:val="21"/>
    </w:rPr>
  </w:style>
  <w:style w:type="paragraph" w:styleId="8">
    <w:name w:val="footer"/>
    <w:basedOn w:val="1"/>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character" w:styleId="11">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2646</Words>
  <Characters>2751</Characters>
  <Lines>0</Lines>
  <Paragraphs>0</Paragraphs>
  <TotalTime>20</TotalTime>
  <ScaleCrop>false</ScaleCrop>
  <LinksUpToDate>false</LinksUpToDate>
  <CharactersWithSpaces>2761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2024-01-26T02:13:00Z</dcterms:created>
  <dc:creator>至诚之力</dc:creator>
  <cp:lastModifiedBy>至诚之力</cp:lastModifiedBy>
  <cp:lastPrinted>2024-06-20T07:21:03Z</cp:lastPrinted>
  <dcterms:modified xsi:type="dcterms:W3CDTF">2024-06-20T07:33:49Z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0CBB48221FFC4E5CA5247DD32B3AB270_13</vt:lpwstr>
  </property>
</Properties>
</file>