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BD8D"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开平市中心医院血液净化设备及附属设备维修保养服务项目需求</w:t>
      </w:r>
    </w:p>
    <w:p w14:paraId="6206D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20"/>
          <w:kern w:val="0"/>
          <w:sz w:val="28"/>
          <w:szCs w:val="28"/>
          <w:lang w:val="en-US" w:eastAsia="zh-CN" w:bidi="ar-SA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spacing w:val="20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服务期：1年</w:t>
      </w:r>
    </w:p>
    <w:p w14:paraId="78BC6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</w:p>
    <w:p w14:paraId="697F0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</w:p>
    <w:p w14:paraId="21C2E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服务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内容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:</w:t>
      </w:r>
    </w:p>
    <w:p w14:paraId="1B76A3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对维保清单内的血液净化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设备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进行维保服务，包括维修零配件、技术服务费和差旅费等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含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维保费用内。</w:t>
      </w:r>
    </w:p>
    <w:p w14:paraId="061CEA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服务商具备满足本项目需求的服务能力，在广东省内设有长期稳定的服务机构及驻地工程师。</w:t>
      </w:r>
    </w:p>
    <w:p w14:paraId="1E407A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成交服务商应按方案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规定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内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完成维保项目，如果成交服务商遇到不能按时完成维保项目时，应及时通知采购人将不能完成理由及可能延误的时间，同时服务商还要为采购人提供备用方案。</w:t>
      </w:r>
    </w:p>
    <w:p w14:paraId="167D1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服务商应具备专业服务团队，为本项目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的资深工程师不少于2名。每年根据采购人需求对设备使用人员做技术培训。</w:t>
      </w:r>
    </w:p>
    <w:p w14:paraId="6C56BA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为保障采购人维保设备运行的安全性及可靠性，供应商确保备件必须为合格产品，安装完毕后达到设备运行标准；维保服务过程中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更换配件需经采购人确定同意，严禁使用假冒伪劣配件。</w:t>
      </w:r>
    </w:p>
    <w:p w14:paraId="484812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服务商不能以任何形式转包，不接受联合体响应。不得整体或部份将维修工作转包给其它公司或个人，一经查实，将终止合同，成交供应商要赔偿由此引起的一切经济损失；</w:t>
      </w:r>
    </w:p>
    <w:p w14:paraId="3390AD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服务商成立至今维修工作中未发生重大责任事故。存在隐瞒或欺骗行为，一经查实，取消资格。</w:t>
      </w:r>
    </w:p>
    <w:p w14:paraId="7E5196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服务商应保证设备开机率≥9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%（按全年365天计算，不分节假日,全年停机时间累计不超过15天）。如低于9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%开机率，每超过一天扣除2000元/天的维保费。</w:t>
      </w:r>
    </w:p>
    <w:p w14:paraId="037DB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</w:pPr>
    </w:p>
    <w:p w14:paraId="3211F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kern w:val="0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服务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要求：</w:t>
      </w:r>
    </w:p>
    <w:p w14:paraId="12E846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服务商提供每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≧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4次保养，包括电路、水路、连接件、阀门等，对破损漏液或损耗组件应及时予以更换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；每次维修保养要做好记录，双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确认签名。</w:t>
      </w:r>
    </w:p>
    <w:p w14:paraId="4F715E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参加水处理机及血液净化设备的联机消毒。</w:t>
      </w:r>
    </w:p>
    <w:p w14:paraId="48AC98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每半年对设备参数校验及性能测试检查。</w:t>
      </w:r>
    </w:p>
    <w:p w14:paraId="3F05EC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每次修理和保养要做好记录，并双方签字确认。</w:t>
      </w:r>
    </w:p>
    <w:p w14:paraId="632A24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服务商提供24小时热线服务电话随时在线响应。不限次数报修；接到采购人报修电话后，维修响应时间≤1小时，到达现场时间≤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eastAsia="zh-CN"/>
        </w:rPr>
        <w:t>小时，48小时内解决故障；</w:t>
      </w:r>
    </w:p>
    <w:p w14:paraId="5BA8AE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服务商提供24小时热线服务电话随时在线响应，不限次数报修。</w:t>
      </w:r>
    </w:p>
    <w:p w14:paraId="5C48FC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应建立和健全设备的维保档案，每年提交一份工作总结报告。</w:t>
      </w:r>
    </w:p>
    <w:p w14:paraId="3969EE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服务商应为采购人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设备操作人员或工程师提供至少一年一次的远程或现场指导培训，每年初提交计划，年终提交培训记录（含签名表，培训相片）。</w:t>
      </w:r>
    </w:p>
    <w:p w14:paraId="4B143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0" w:lineRule="atLeast"/>
        <w:ind w:left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lang w:val="en-US" w:eastAsia="zh-CN"/>
        </w:rPr>
      </w:pPr>
    </w:p>
    <w:p w14:paraId="5159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0" w:lineRule="atLeast"/>
        <w:ind w:left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28"/>
          <w:szCs w:val="28"/>
          <w:lang w:val="en-US" w:eastAsia="zh-CN"/>
        </w:rPr>
      </w:pPr>
    </w:p>
    <w:p w14:paraId="5FA16F6B">
      <w:pPr>
        <w:spacing w:line="240" w:lineRule="auto"/>
        <w:jc w:val="left"/>
        <w:rPr>
          <w:rFonts w:hint="eastAsia" w:ascii="仿宋" w:hAnsi="仿宋" w:eastAsia="仿宋" w:cs="仿宋"/>
          <w:b w:val="0"/>
          <w:bCs/>
          <w:i w:val="0"/>
          <w:i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8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654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AB4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AB4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66084"/>
    <w:multiLevelType w:val="singleLevel"/>
    <w:tmpl w:val="3E966084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">
    <w:nsid w:val="69C55AFD"/>
    <w:multiLevelType w:val="singleLevel"/>
    <w:tmpl w:val="69C55A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mNhODhiNDcxMjIxZWE3MTk5NzQ0ZmRiYzdjNDUifQ=="/>
    <w:docVar w:name="KSO_WPS_MARK_KEY" w:val="0acb5545-8690-49c4-8247-a09c1cfca0ec"/>
  </w:docVars>
  <w:rsids>
    <w:rsidRoot w:val="04841A27"/>
    <w:rsid w:val="02312548"/>
    <w:rsid w:val="04841A27"/>
    <w:rsid w:val="0854255A"/>
    <w:rsid w:val="0A200F30"/>
    <w:rsid w:val="0C8C699B"/>
    <w:rsid w:val="0D70006B"/>
    <w:rsid w:val="0FB66CD1"/>
    <w:rsid w:val="105772C0"/>
    <w:rsid w:val="10DB1C9F"/>
    <w:rsid w:val="145204CA"/>
    <w:rsid w:val="14843F9B"/>
    <w:rsid w:val="1ACD5720"/>
    <w:rsid w:val="1CC01D49"/>
    <w:rsid w:val="1FC3219D"/>
    <w:rsid w:val="210466A8"/>
    <w:rsid w:val="21CF315A"/>
    <w:rsid w:val="259D0E7A"/>
    <w:rsid w:val="267C565F"/>
    <w:rsid w:val="285F2D5E"/>
    <w:rsid w:val="287D64EF"/>
    <w:rsid w:val="28DE4B6F"/>
    <w:rsid w:val="2AD6555A"/>
    <w:rsid w:val="2E0B65C7"/>
    <w:rsid w:val="3B25706A"/>
    <w:rsid w:val="3C3A7F4A"/>
    <w:rsid w:val="3C7C3A87"/>
    <w:rsid w:val="43655275"/>
    <w:rsid w:val="45B119E6"/>
    <w:rsid w:val="47883CE9"/>
    <w:rsid w:val="47FF79ED"/>
    <w:rsid w:val="4B0E5EAD"/>
    <w:rsid w:val="4B315A3D"/>
    <w:rsid w:val="5903310E"/>
    <w:rsid w:val="5B724D25"/>
    <w:rsid w:val="5ED115B9"/>
    <w:rsid w:val="63507F45"/>
    <w:rsid w:val="68DE6E9B"/>
    <w:rsid w:val="6DEC1F6B"/>
    <w:rsid w:val="72EC6B7F"/>
    <w:rsid w:val="72F322A9"/>
    <w:rsid w:val="768F1AB0"/>
    <w:rsid w:val="7A2C0485"/>
    <w:rsid w:val="FF1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/>
      <w:spacing w:val="20"/>
      <w:kern w:val="24"/>
      <w:sz w:val="52"/>
      <w:szCs w:val="5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 w:val="0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871</Characters>
  <Lines>0</Lines>
  <Paragraphs>0</Paragraphs>
  <TotalTime>10</TotalTime>
  <ScaleCrop>false</ScaleCrop>
  <LinksUpToDate>false</LinksUpToDate>
  <CharactersWithSpaces>871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2024-02-02T17:32:00Z</dcterms:created>
  <dc:creator>八菜  汤</dc:creator>
  <cp:lastModifiedBy>至诚之力</cp:lastModifiedBy>
  <cp:lastPrinted>2024-07-22T01:16:04Z</cp:lastPrinted>
  <dcterms:modified xsi:type="dcterms:W3CDTF">2024-07-22T01:17:17Z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9635D02BFA9D4AA08536E67C99E5B54F_13</vt:lpwstr>
  </property>
</Properties>
</file>