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B22D8">
      <w:pPr>
        <w:pStyle w:val="2"/>
        <w:spacing w:line="360" w:lineRule="auto"/>
        <w:jc w:val="center"/>
        <w:rPr>
          <w:rFonts w:ascii="黑体" w:eastAsia="黑体"/>
        </w:rPr>
      </w:pPr>
      <w:bookmarkStart w:id="0" w:name="_GoBack"/>
      <w:bookmarkEnd w:id="0"/>
      <w:r>
        <w:rPr>
          <w:rFonts w:hint="eastAsia" w:ascii="黑体" w:eastAsia="黑体"/>
          <w:lang w:val="en-US" w:eastAsia="zh-CN"/>
        </w:rPr>
        <w:t>病人</w:t>
      </w:r>
      <w:r>
        <w:rPr>
          <w:rFonts w:hint="eastAsia" w:ascii="黑体" w:eastAsia="黑体"/>
        </w:rPr>
        <w:t>监护仪</w:t>
      </w:r>
      <w:r>
        <w:rPr>
          <w:rFonts w:hint="eastAsia" w:ascii="黑体" w:eastAsia="黑体"/>
          <w:lang w:val="en-US" w:eastAsia="zh-CN"/>
        </w:rPr>
        <w:t>技术</w:t>
      </w:r>
      <w:r>
        <w:rPr>
          <w:rFonts w:hint="eastAsia" w:ascii="黑体" w:eastAsia="黑体"/>
        </w:rPr>
        <w:t>参数</w:t>
      </w:r>
    </w:p>
    <w:p w14:paraId="32BA4187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模</w:t>
      </w:r>
      <w:r>
        <w:rPr>
          <w:rFonts w:ascii="宋体" w:hAnsi="宋体"/>
          <w:sz w:val="24"/>
        </w:rPr>
        <w:t>块化</w:t>
      </w:r>
      <w:r>
        <w:rPr>
          <w:rFonts w:hint="eastAsia" w:ascii="宋体" w:hAnsi="宋体"/>
          <w:sz w:val="24"/>
          <w:lang w:val="en-US" w:eastAsia="zh-CN"/>
        </w:rPr>
        <w:t>插件式</w:t>
      </w:r>
      <w:r>
        <w:rPr>
          <w:rFonts w:hint="eastAsia" w:ascii="宋体" w:hAnsi="宋体"/>
          <w:sz w:val="24"/>
        </w:rPr>
        <w:t>监护仪，≥2槽位插件槽，可支持IBP，CO2，AG任意参数模块的即插即用快速扩展临床应用。</w:t>
      </w:r>
    </w:p>
    <w:p w14:paraId="38EE189A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≥12.1英寸彩</w:t>
      </w:r>
      <w:r>
        <w:rPr>
          <w:rFonts w:ascii="宋体" w:hAnsi="宋体"/>
          <w:sz w:val="24"/>
        </w:rPr>
        <w:t>色</w:t>
      </w:r>
      <w:r>
        <w:rPr>
          <w:rFonts w:hint="eastAsia" w:ascii="宋体" w:hAnsi="宋体"/>
          <w:sz w:val="24"/>
        </w:rPr>
        <w:t>液晶</w:t>
      </w:r>
      <w:r>
        <w:rPr>
          <w:rFonts w:hint="eastAsia" w:ascii="宋体" w:hAnsi="宋体"/>
          <w:sz w:val="24"/>
          <w:lang w:val="en-US" w:eastAsia="zh-CN"/>
        </w:rPr>
        <w:t>电容</w:t>
      </w:r>
      <w:r>
        <w:rPr>
          <w:rFonts w:hint="eastAsia" w:ascii="宋体" w:hAnsi="宋体"/>
          <w:sz w:val="24"/>
        </w:rPr>
        <w:t>触摸屏，分辨率高达</w:t>
      </w:r>
      <w:r>
        <w:rPr>
          <w:rFonts w:ascii="宋体" w:hAnsi="宋体"/>
          <w:sz w:val="24"/>
        </w:rPr>
        <w:t>1280</w:t>
      </w:r>
      <w:r>
        <w:rPr>
          <w:rFonts w:hint="eastAsia" w:ascii="宋体" w:hAnsi="宋体"/>
          <w:sz w:val="24"/>
        </w:rPr>
        <w:t>*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00像素</w:t>
      </w:r>
      <w:r>
        <w:rPr>
          <w:rFonts w:hint="eastAsia" w:ascii="宋体" w:hAnsi="宋体"/>
          <w:sz w:val="24"/>
          <w:lang w:eastAsia="zh-CN"/>
        </w:rPr>
        <w:t>。</w:t>
      </w:r>
    </w:p>
    <w:p w14:paraId="02D3B968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</w:rPr>
        <w:t>屏幕倾斜10~15度设计，符合人机工程学，便于临床团队观察和操作。</w:t>
      </w:r>
    </w:p>
    <w:p w14:paraId="19B2D35B">
      <w:pPr>
        <w:pStyle w:val="16"/>
        <w:adjustRightInd w:val="0"/>
        <w:spacing w:line="360" w:lineRule="auto"/>
        <w:ind w:left="420" w:leftChars="200" w:firstLine="0" w:firstLineChars="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4.</w:t>
      </w:r>
      <w:r>
        <w:rPr>
          <w:rFonts w:hint="eastAsia" w:ascii="宋体" w:hAnsi="宋体" w:cs="Arial"/>
          <w:sz w:val="24"/>
          <w:szCs w:val="24"/>
        </w:rPr>
        <w:t>安全规格：ECG, TEMP, IBP, SpO2 , NIBP监测参数抗电击程度为防除颤CF型</w:t>
      </w:r>
      <w:r>
        <w:rPr>
          <w:rFonts w:ascii="宋体" w:hAnsi="宋体" w:cs="Arial"/>
          <w:sz w:val="24"/>
          <w:szCs w:val="24"/>
        </w:rPr>
        <w:drawing>
          <wp:inline distT="0" distB="0" distL="0" distR="0">
            <wp:extent cx="257175" cy="152400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960" cy="15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Arial"/>
          <w:sz w:val="24"/>
          <w:szCs w:val="24"/>
        </w:rPr>
        <w:t>。</w:t>
      </w:r>
    </w:p>
    <w:p w14:paraId="239EF877">
      <w:pPr>
        <w:pStyle w:val="16"/>
        <w:adjustRightInd w:val="0"/>
        <w:spacing w:line="360" w:lineRule="auto"/>
        <w:ind w:left="420" w:leftChars="200" w:firstLine="0" w:firstLineChars="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5.</w:t>
      </w:r>
      <w:r>
        <w:rPr>
          <w:rFonts w:hint="eastAsia" w:ascii="宋体" w:hAnsi="宋体" w:cs="Arial"/>
          <w:sz w:val="24"/>
          <w:szCs w:val="24"/>
        </w:rPr>
        <w:t>监护仪设计使用年限</w:t>
      </w:r>
      <w:r>
        <w:rPr>
          <w:rFonts w:hint="eastAsia" w:ascii="宋体" w:hAnsi="宋体"/>
          <w:sz w:val="24"/>
        </w:rPr>
        <w:t>≥</w:t>
      </w:r>
      <w:r>
        <w:rPr>
          <w:rFonts w:hint="eastAsia" w:ascii="宋体" w:hAnsi="宋体" w:cs="Arial"/>
          <w:sz w:val="24"/>
          <w:szCs w:val="24"/>
        </w:rPr>
        <w:t>8年。</w:t>
      </w:r>
    </w:p>
    <w:p w14:paraId="2BF1204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6.</w:t>
      </w:r>
      <w:r>
        <w:rPr>
          <w:rFonts w:hint="eastAsia" w:ascii="宋体" w:hAnsi="宋体"/>
          <w:sz w:val="24"/>
        </w:rPr>
        <w:t>配置心电，呼吸，无创血压，血氧饱和度，脉搏，体温参数监测。</w:t>
      </w:r>
    </w:p>
    <w:p w14:paraId="3EF0BCE6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7.</w:t>
      </w:r>
      <w:r>
        <w:rPr>
          <w:rFonts w:hint="eastAsia" w:ascii="宋体" w:hAnsi="宋体"/>
          <w:sz w:val="24"/>
        </w:rPr>
        <w:t>心电监护支持心率，ST段测量，心律失常分析，QT/QTc连续实时测量和对应报警功能。</w:t>
      </w:r>
    </w:p>
    <w:p w14:paraId="704B0F27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8.</w:t>
      </w:r>
      <w:r>
        <w:rPr>
          <w:rFonts w:hint="eastAsia" w:ascii="宋体" w:hAnsi="宋体"/>
          <w:sz w:val="24"/>
        </w:rPr>
        <w:t>支持≥2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种心律失常分析,包括房颤分析。</w:t>
      </w:r>
    </w:p>
    <w:p w14:paraId="543D4D03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9.</w:t>
      </w:r>
      <w:r>
        <w:rPr>
          <w:rFonts w:hint="eastAsia" w:ascii="宋体" w:hAnsi="宋体"/>
          <w:sz w:val="24"/>
        </w:rPr>
        <w:t>提供SpO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,PR和PI参数的实时监测，适用于成人，小儿和新生儿。</w:t>
      </w:r>
    </w:p>
    <w:p w14:paraId="47D9CF15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10.</w:t>
      </w:r>
      <w:r>
        <w:rPr>
          <w:rFonts w:hint="eastAsia" w:ascii="宋体" w:hAnsi="宋体"/>
          <w:sz w:val="24"/>
        </w:rPr>
        <w:t>支持指套式血氧探头，IPX7防水等级，支持液体浸泡消毒和清洁。</w:t>
      </w:r>
    </w:p>
    <w:p w14:paraId="1CB20E18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11.</w:t>
      </w:r>
      <w:r>
        <w:rPr>
          <w:rFonts w:hint="eastAsia" w:ascii="宋体" w:hAnsi="宋体"/>
          <w:sz w:val="24"/>
        </w:rPr>
        <w:t>配置无创血压测量，适用于成人，小儿和新生儿。</w:t>
      </w:r>
    </w:p>
    <w:p w14:paraId="1340816E"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12.</w:t>
      </w:r>
      <w:r>
        <w:rPr>
          <w:rFonts w:hint="eastAsia" w:ascii="宋体" w:hAnsi="宋体"/>
          <w:sz w:val="24"/>
        </w:rPr>
        <w:t>支持所有监测参数报警限一键自动设置功能，满足医护团队快速管理患者报警需求，产品用户手册提供报警限自动设置规则。</w:t>
      </w:r>
    </w:p>
    <w:p w14:paraId="0136BED3">
      <w:pPr>
        <w:spacing w:line="360" w:lineRule="auto"/>
        <w:ind w:right="42" w:rightChars="20"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4"/>
          <w:lang w:val="en-US" w:eastAsia="zh-CN"/>
        </w:rPr>
        <w:t>13.</w:t>
      </w:r>
      <w:r>
        <w:rPr>
          <w:rFonts w:asciiTheme="minorEastAsia" w:hAnsiTheme="minorEastAsia"/>
          <w:sz w:val="24"/>
        </w:rPr>
        <w:t>具有图形化</w:t>
      </w:r>
      <w:r>
        <w:rPr>
          <w:rFonts w:hint="eastAsia" w:asciiTheme="minorEastAsia" w:hAnsiTheme="minorEastAsia"/>
          <w:sz w:val="24"/>
        </w:rPr>
        <w:t>技术</w:t>
      </w:r>
      <w:r>
        <w:rPr>
          <w:rFonts w:asciiTheme="minorEastAsia" w:hAnsiTheme="minorEastAsia"/>
          <w:sz w:val="24"/>
        </w:rPr>
        <w:t>报警指示功能</w:t>
      </w:r>
      <w:r>
        <w:rPr>
          <w:rFonts w:hint="eastAsia" w:asciiTheme="minorEastAsia" w:hAnsiTheme="minorEastAsia"/>
          <w:sz w:val="24"/>
        </w:rPr>
        <w:t>。</w:t>
      </w:r>
    </w:p>
    <w:p w14:paraId="6080979E">
      <w:pPr>
        <w:spacing w:line="360" w:lineRule="auto"/>
        <w:ind w:left="420" w:leftChars="200" w:right="42" w:rightChars="2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14.</w:t>
      </w:r>
      <w:r>
        <w:rPr>
          <w:rFonts w:hint="eastAsia" w:ascii="宋体" w:hAnsi="宋体"/>
          <w:sz w:val="24"/>
        </w:rPr>
        <w:t>支持≥120小时趋势图和趋势表回顾，支持选择不同趋势组回顾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≥</w:t>
      </w:r>
      <w:r>
        <w:rPr>
          <w:rFonts w:asciiTheme="minorEastAsia" w:hAnsiTheme="minorEastAsia"/>
          <w:sz w:val="24"/>
        </w:rPr>
        <w:t>1000条事件回顾。每条报警事件至少能够存储</w:t>
      </w:r>
      <w:r>
        <w:rPr>
          <w:rFonts w:hint="eastAsia" w:asciiTheme="minorEastAsia" w:hAnsiTheme="minorEastAsia"/>
          <w:sz w:val="24"/>
        </w:rPr>
        <w:t>32秒三道相关波形，以及报警触发时所有测量参数值</w:t>
      </w:r>
      <w:r>
        <w:rPr>
          <w:rFonts w:hint="eastAsia" w:asciiTheme="minorEastAsia" w:hAnsiTheme="minorEastAsia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≥1000组NIBP测</w:t>
      </w:r>
      <w:r>
        <w:rPr>
          <w:rFonts w:ascii="宋体" w:hAnsi="宋体"/>
          <w:sz w:val="24"/>
        </w:rPr>
        <w:t>量结果</w:t>
      </w:r>
      <w:r>
        <w:rPr>
          <w:rFonts w:hint="eastAsia" w:ascii="宋体" w:hAnsi="宋体"/>
          <w:sz w:val="24"/>
        </w:rPr>
        <w:t>，≥</w:t>
      </w:r>
      <w:r>
        <w:rPr>
          <w:rFonts w:hint="eastAsia" w:asciiTheme="minorEastAsia" w:hAnsiTheme="minorEastAsia"/>
          <w:sz w:val="24"/>
        </w:rPr>
        <w:t>120小时（分辨率</w:t>
      </w: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分钟）ST模板存储与回顾</w:t>
      </w:r>
      <w:r>
        <w:rPr>
          <w:rFonts w:hint="eastAsia" w:asciiTheme="minorEastAsia" w:hAnsiTheme="minorEastAsia"/>
          <w:sz w:val="24"/>
          <w:lang w:eastAsia="zh-CN"/>
        </w:rPr>
        <w:t>；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支持48小时全息波形的存储与回顾功能</w:t>
      </w:r>
      <w:r>
        <w:rPr>
          <w:rFonts w:hint="eastAsia" w:asciiTheme="minorEastAsia" w:hAnsi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E976C44">
      <w:pPr>
        <w:autoSpaceDE w:val="0"/>
        <w:autoSpaceDN w:val="0"/>
        <w:adjustRightInd w:val="0"/>
        <w:spacing w:line="360" w:lineRule="auto"/>
        <w:ind w:left="424" w:leftChars="202" w:right="84" w:rightChars="40" w:firstLine="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15.</w:t>
      </w:r>
      <w:r>
        <w:rPr>
          <w:rFonts w:hint="eastAsia" w:ascii="宋体" w:hAnsi="宋体"/>
          <w:sz w:val="24"/>
        </w:rPr>
        <w:t>配置临床评分系统，包括MEWS（改良早期预警评分）、NEWS（英国早期预警评分），可</w:t>
      </w:r>
      <w:r>
        <w:rPr>
          <w:rFonts w:ascii="宋体" w:hAnsi="宋体"/>
          <w:sz w:val="24"/>
        </w:rPr>
        <w:t>支持</w:t>
      </w:r>
      <w:r>
        <w:rPr>
          <w:rFonts w:hint="eastAsia" w:ascii="宋体" w:hAnsi="宋体"/>
          <w:sz w:val="24"/>
        </w:rPr>
        <w:t>定时自动EWS评分</w:t>
      </w:r>
      <w:r>
        <w:rPr>
          <w:rFonts w:ascii="宋体" w:hAnsi="宋体"/>
          <w:sz w:val="24"/>
        </w:rPr>
        <w:t>功能</w:t>
      </w:r>
      <w:r>
        <w:rPr>
          <w:rFonts w:hint="eastAsia" w:ascii="宋体" w:hAnsi="宋体"/>
          <w:sz w:val="24"/>
        </w:rPr>
        <w:t>。</w:t>
      </w:r>
    </w:p>
    <w:p w14:paraId="1A25FA0D"/>
    <w:sectPr>
      <w:footerReference r:id="rId3" w:type="default"/>
      <w:pgSz w:w="11906" w:h="16838"/>
      <w:pgMar w:top="1440" w:right="1274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yriad Pro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FZLanTingHei-R-GB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E8C1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DD10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FDD10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NWYwYzMzN2YzY2YzNDU0NDJjNTE3ZDhjZDBkMTMifQ=="/>
    <w:docVar w:name="KSO_WPS_MARK_KEY" w:val="0d06b8b6-90f7-459c-ad38-2c54030830bf"/>
  </w:docVars>
  <w:rsids>
    <w:rsidRoot w:val="00224A58"/>
    <w:rsid w:val="00006DA4"/>
    <w:rsid w:val="00015B57"/>
    <w:rsid w:val="00040BF5"/>
    <w:rsid w:val="0004340F"/>
    <w:rsid w:val="00045BA4"/>
    <w:rsid w:val="00051BEC"/>
    <w:rsid w:val="00053451"/>
    <w:rsid w:val="00063BD8"/>
    <w:rsid w:val="00063ED9"/>
    <w:rsid w:val="00074361"/>
    <w:rsid w:val="0007650A"/>
    <w:rsid w:val="000877D6"/>
    <w:rsid w:val="000A0A8E"/>
    <w:rsid w:val="000A5367"/>
    <w:rsid w:val="000C343A"/>
    <w:rsid w:val="000C6F5B"/>
    <w:rsid w:val="000D0EA6"/>
    <w:rsid w:val="000E0F6F"/>
    <w:rsid w:val="000E27B4"/>
    <w:rsid w:val="000E2C8F"/>
    <w:rsid w:val="000E7B4C"/>
    <w:rsid w:val="000F1449"/>
    <w:rsid w:val="000F4DE0"/>
    <w:rsid w:val="001008D2"/>
    <w:rsid w:val="0010650D"/>
    <w:rsid w:val="00126FF6"/>
    <w:rsid w:val="00131569"/>
    <w:rsid w:val="00136EE8"/>
    <w:rsid w:val="001414EB"/>
    <w:rsid w:val="00152F2A"/>
    <w:rsid w:val="00157457"/>
    <w:rsid w:val="0016587E"/>
    <w:rsid w:val="001731C1"/>
    <w:rsid w:val="00177F29"/>
    <w:rsid w:val="001A031F"/>
    <w:rsid w:val="001A196B"/>
    <w:rsid w:val="001A2D75"/>
    <w:rsid w:val="001B1033"/>
    <w:rsid w:val="001D1630"/>
    <w:rsid w:val="001D3329"/>
    <w:rsid w:val="001E2E2D"/>
    <w:rsid w:val="001E4C30"/>
    <w:rsid w:val="001F7E39"/>
    <w:rsid w:val="002032DD"/>
    <w:rsid w:val="002217E5"/>
    <w:rsid w:val="002222AA"/>
    <w:rsid w:val="00224A58"/>
    <w:rsid w:val="00231E4A"/>
    <w:rsid w:val="0023219B"/>
    <w:rsid w:val="00254E9B"/>
    <w:rsid w:val="00255C66"/>
    <w:rsid w:val="00263786"/>
    <w:rsid w:val="0026778F"/>
    <w:rsid w:val="00287FAB"/>
    <w:rsid w:val="002A2F42"/>
    <w:rsid w:val="002C4BDD"/>
    <w:rsid w:val="002C693E"/>
    <w:rsid w:val="002D39EA"/>
    <w:rsid w:val="002E66B7"/>
    <w:rsid w:val="002F3DDC"/>
    <w:rsid w:val="002F6233"/>
    <w:rsid w:val="003000FC"/>
    <w:rsid w:val="00302E4A"/>
    <w:rsid w:val="00304E3A"/>
    <w:rsid w:val="00310642"/>
    <w:rsid w:val="00312EB5"/>
    <w:rsid w:val="003131B5"/>
    <w:rsid w:val="00313E6C"/>
    <w:rsid w:val="00314B18"/>
    <w:rsid w:val="00321FF1"/>
    <w:rsid w:val="0032529F"/>
    <w:rsid w:val="00340D44"/>
    <w:rsid w:val="0034104D"/>
    <w:rsid w:val="00346117"/>
    <w:rsid w:val="00361A07"/>
    <w:rsid w:val="003743E1"/>
    <w:rsid w:val="00374992"/>
    <w:rsid w:val="00383071"/>
    <w:rsid w:val="003935C2"/>
    <w:rsid w:val="00393A4E"/>
    <w:rsid w:val="003A61D3"/>
    <w:rsid w:val="003A6DC5"/>
    <w:rsid w:val="003C38CF"/>
    <w:rsid w:val="003E0CC7"/>
    <w:rsid w:val="003F2E36"/>
    <w:rsid w:val="0040260B"/>
    <w:rsid w:val="004143A2"/>
    <w:rsid w:val="0041631B"/>
    <w:rsid w:val="0043414A"/>
    <w:rsid w:val="004678B6"/>
    <w:rsid w:val="00483145"/>
    <w:rsid w:val="004866A8"/>
    <w:rsid w:val="004909E3"/>
    <w:rsid w:val="00492994"/>
    <w:rsid w:val="00492C7F"/>
    <w:rsid w:val="004A10EB"/>
    <w:rsid w:val="004B5A4C"/>
    <w:rsid w:val="004C77B3"/>
    <w:rsid w:val="004F7701"/>
    <w:rsid w:val="00501CA4"/>
    <w:rsid w:val="0050221F"/>
    <w:rsid w:val="00512C65"/>
    <w:rsid w:val="00512E97"/>
    <w:rsid w:val="005246DD"/>
    <w:rsid w:val="005458DA"/>
    <w:rsid w:val="005461A8"/>
    <w:rsid w:val="00546AE3"/>
    <w:rsid w:val="00547658"/>
    <w:rsid w:val="005623B2"/>
    <w:rsid w:val="00572BD2"/>
    <w:rsid w:val="00585BF5"/>
    <w:rsid w:val="00597E7E"/>
    <w:rsid w:val="005A529E"/>
    <w:rsid w:val="005B2AAB"/>
    <w:rsid w:val="005B366D"/>
    <w:rsid w:val="005B41A0"/>
    <w:rsid w:val="005B46EE"/>
    <w:rsid w:val="005D44D3"/>
    <w:rsid w:val="005E4834"/>
    <w:rsid w:val="005E544B"/>
    <w:rsid w:val="005E7541"/>
    <w:rsid w:val="005F3CE0"/>
    <w:rsid w:val="005F6D87"/>
    <w:rsid w:val="00611516"/>
    <w:rsid w:val="006145ED"/>
    <w:rsid w:val="0061623A"/>
    <w:rsid w:val="006272F9"/>
    <w:rsid w:val="006370D6"/>
    <w:rsid w:val="0063728D"/>
    <w:rsid w:val="0064123D"/>
    <w:rsid w:val="006429AD"/>
    <w:rsid w:val="0064640C"/>
    <w:rsid w:val="006468D7"/>
    <w:rsid w:val="00652977"/>
    <w:rsid w:val="006751BB"/>
    <w:rsid w:val="00675F48"/>
    <w:rsid w:val="00677E8E"/>
    <w:rsid w:val="0068488B"/>
    <w:rsid w:val="00685D7A"/>
    <w:rsid w:val="00695A23"/>
    <w:rsid w:val="006973AF"/>
    <w:rsid w:val="006A290F"/>
    <w:rsid w:val="006B5AB2"/>
    <w:rsid w:val="006C79DE"/>
    <w:rsid w:val="006D2E20"/>
    <w:rsid w:val="006E32F1"/>
    <w:rsid w:val="006F48CB"/>
    <w:rsid w:val="006F5278"/>
    <w:rsid w:val="006F6B28"/>
    <w:rsid w:val="00722ABC"/>
    <w:rsid w:val="00722E58"/>
    <w:rsid w:val="00740565"/>
    <w:rsid w:val="007504F3"/>
    <w:rsid w:val="00752F3C"/>
    <w:rsid w:val="0076070D"/>
    <w:rsid w:val="00766C87"/>
    <w:rsid w:val="0077062F"/>
    <w:rsid w:val="0078578E"/>
    <w:rsid w:val="0079126E"/>
    <w:rsid w:val="007938D5"/>
    <w:rsid w:val="007A555B"/>
    <w:rsid w:val="007B0278"/>
    <w:rsid w:val="007B0D6C"/>
    <w:rsid w:val="007B2309"/>
    <w:rsid w:val="007B4CD0"/>
    <w:rsid w:val="007C0A6E"/>
    <w:rsid w:val="007C3436"/>
    <w:rsid w:val="007C5090"/>
    <w:rsid w:val="007D43D6"/>
    <w:rsid w:val="007E340C"/>
    <w:rsid w:val="007F1279"/>
    <w:rsid w:val="008008E0"/>
    <w:rsid w:val="00810CD9"/>
    <w:rsid w:val="00814910"/>
    <w:rsid w:val="00820F98"/>
    <w:rsid w:val="00821141"/>
    <w:rsid w:val="00825C9E"/>
    <w:rsid w:val="008263AD"/>
    <w:rsid w:val="008269D0"/>
    <w:rsid w:val="0083163C"/>
    <w:rsid w:val="0083424F"/>
    <w:rsid w:val="008563B4"/>
    <w:rsid w:val="0087279D"/>
    <w:rsid w:val="00872A5B"/>
    <w:rsid w:val="008735A6"/>
    <w:rsid w:val="00882006"/>
    <w:rsid w:val="008A3E40"/>
    <w:rsid w:val="008C1A41"/>
    <w:rsid w:val="008C7BCA"/>
    <w:rsid w:val="008E4E03"/>
    <w:rsid w:val="008F6D0F"/>
    <w:rsid w:val="009069D9"/>
    <w:rsid w:val="009106EE"/>
    <w:rsid w:val="0091098A"/>
    <w:rsid w:val="00912C99"/>
    <w:rsid w:val="00913B3B"/>
    <w:rsid w:val="009339CC"/>
    <w:rsid w:val="00934911"/>
    <w:rsid w:val="00940796"/>
    <w:rsid w:val="0094622D"/>
    <w:rsid w:val="0095193E"/>
    <w:rsid w:val="009544EE"/>
    <w:rsid w:val="0095745A"/>
    <w:rsid w:val="0096511C"/>
    <w:rsid w:val="00970A2B"/>
    <w:rsid w:val="00972069"/>
    <w:rsid w:val="00981407"/>
    <w:rsid w:val="009928CC"/>
    <w:rsid w:val="009A7891"/>
    <w:rsid w:val="009B22ED"/>
    <w:rsid w:val="009B55DC"/>
    <w:rsid w:val="009D1D1A"/>
    <w:rsid w:val="009D6649"/>
    <w:rsid w:val="009E5C2B"/>
    <w:rsid w:val="009F2F3C"/>
    <w:rsid w:val="009F5A87"/>
    <w:rsid w:val="009F7036"/>
    <w:rsid w:val="00A0104E"/>
    <w:rsid w:val="00A052D9"/>
    <w:rsid w:val="00A05BEF"/>
    <w:rsid w:val="00A06F54"/>
    <w:rsid w:val="00A10C6F"/>
    <w:rsid w:val="00A119F7"/>
    <w:rsid w:val="00A14653"/>
    <w:rsid w:val="00A23BD5"/>
    <w:rsid w:val="00A42B09"/>
    <w:rsid w:val="00A50FA5"/>
    <w:rsid w:val="00A51F37"/>
    <w:rsid w:val="00A56066"/>
    <w:rsid w:val="00A62A0D"/>
    <w:rsid w:val="00A67BA2"/>
    <w:rsid w:val="00A70E74"/>
    <w:rsid w:val="00A742ED"/>
    <w:rsid w:val="00A77296"/>
    <w:rsid w:val="00A77C86"/>
    <w:rsid w:val="00A97085"/>
    <w:rsid w:val="00AA6D30"/>
    <w:rsid w:val="00AB1BEE"/>
    <w:rsid w:val="00AB3DA9"/>
    <w:rsid w:val="00AB6353"/>
    <w:rsid w:val="00AC0691"/>
    <w:rsid w:val="00AD2290"/>
    <w:rsid w:val="00AE3658"/>
    <w:rsid w:val="00AE4B0B"/>
    <w:rsid w:val="00AE5AFC"/>
    <w:rsid w:val="00AF10D9"/>
    <w:rsid w:val="00AF316F"/>
    <w:rsid w:val="00B049ED"/>
    <w:rsid w:val="00B106B4"/>
    <w:rsid w:val="00B1073A"/>
    <w:rsid w:val="00B1441E"/>
    <w:rsid w:val="00B14F17"/>
    <w:rsid w:val="00B14F32"/>
    <w:rsid w:val="00B204D1"/>
    <w:rsid w:val="00B30810"/>
    <w:rsid w:val="00B50739"/>
    <w:rsid w:val="00B5415C"/>
    <w:rsid w:val="00B62CB0"/>
    <w:rsid w:val="00B71816"/>
    <w:rsid w:val="00B73794"/>
    <w:rsid w:val="00B74D9E"/>
    <w:rsid w:val="00B75032"/>
    <w:rsid w:val="00B75933"/>
    <w:rsid w:val="00B77069"/>
    <w:rsid w:val="00B86DB8"/>
    <w:rsid w:val="00BA1E44"/>
    <w:rsid w:val="00BA3C23"/>
    <w:rsid w:val="00BA4AC5"/>
    <w:rsid w:val="00BA55F4"/>
    <w:rsid w:val="00BA6C04"/>
    <w:rsid w:val="00BB07BC"/>
    <w:rsid w:val="00BC0D55"/>
    <w:rsid w:val="00BD52B9"/>
    <w:rsid w:val="00BE3BA9"/>
    <w:rsid w:val="00BE7634"/>
    <w:rsid w:val="00BF1D8B"/>
    <w:rsid w:val="00BF2167"/>
    <w:rsid w:val="00BF3274"/>
    <w:rsid w:val="00C02F1E"/>
    <w:rsid w:val="00C144D7"/>
    <w:rsid w:val="00C154BA"/>
    <w:rsid w:val="00C32B76"/>
    <w:rsid w:val="00C42ECF"/>
    <w:rsid w:val="00C452CD"/>
    <w:rsid w:val="00C45A2C"/>
    <w:rsid w:val="00C50520"/>
    <w:rsid w:val="00C8395D"/>
    <w:rsid w:val="00C84415"/>
    <w:rsid w:val="00C85E5F"/>
    <w:rsid w:val="00C903B9"/>
    <w:rsid w:val="00CA446A"/>
    <w:rsid w:val="00CB77C7"/>
    <w:rsid w:val="00CC7171"/>
    <w:rsid w:val="00CD11C7"/>
    <w:rsid w:val="00CD65BC"/>
    <w:rsid w:val="00CD66D4"/>
    <w:rsid w:val="00CE05E7"/>
    <w:rsid w:val="00CE1C76"/>
    <w:rsid w:val="00CE49CE"/>
    <w:rsid w:val="00CE5A29"/>
    <w:rsid w:val="00CF21D4"/>
    <w:rsid w:val="00CF633C"/>
    <w:rsid w:val="00D03468"/>
    <w:rsid w:val="00D047F6"/>
    <w:rsid w:val="00D240EC"/>
    <w:rsid w:val="00D24F4F"/>
    <w:rsid w:val="00D33177"/>
    <w:rsid w:val="00D440D6"/>
    <w:rsid w:val="00D470CE"/>
    <w:rsid w:val="00D53EF3"/>
    <w:rsid w:val="00D61159"/>
    <w:rsid w:val="00D64A9B"/>
    <w:rsid w:val="00D64F6E"/>
    <w:rsid w:val="00D67914"/>
    <w:rsid w:val="00D7641F"/>
    <w:rsid w:val="00D816B8"/>
    <w:rsid w:val="00D84559"/>
    <w:rsid w:val="00DB324C"/>
    <w:rsid w:val="00DB5583"/>
    <w:rsid w:val="00DB7095"/>
    <w:rsid w:val="00DC5F3B"/>
    <w:rsid w:val="00DC6597"/>
    <w:rsid w:val="00DE4D58"/>
    <w:rsid w:val="00DF050A"/>
    <w:rsid w:val="00DF29B9"/>
    <w:rsid w:val="00DF44B3"/>
    <w:rsid w:val="00DF626B"/>
    <w:rsid w:val="00DF69D8"/>
    <w:rsid w:val="00E028D8"/>
    <w:rsid w:val="00E0352D"/>
    <w:rsid w:val="00E0623F"/>
    <w:rsid w:val="00E07D70"/>
    <w:rsid w:val="00E12C15"/>
    <w:rsid w:val="00E22307"/>
    <w:rsid w:val="00E248A5"/>
    <w:rsid w:val="00E2633F"/>
    <w:rsid w:val="00E26E93"/>
    <w:rsid w:val="00E30D42"/>
    <w:rsid w:val="00E32562"/>
    <w:rsid w:val="00E37257"/>
    <w:rsid w:val="00E4315F"/>
    <w:rsid w:val="00E54615"/>
    <w:rsid w:val="00E56241"/>
    <w:rsid w:val="00E61328"/>
    <w:rsid w:val="00E66F64"/>
    <w:rsid w:val="00E70429"/>
    <w:rsid w:val="00E84E63"/>
    <w:rsid w:val="00E91DAB"/>
    <w:rsid w:val="00E96442"/>
    <w:rsid w:val="00E96DC4"/>
    <w:rsid w:val="00EA2D34"/>
    <w:rsid w:val="00EA59C7"/>
    <w:rsid w:val="00EB46AA"/>
    <w:rsid w:val="00EC408D"/>
    <w:rsid w:val="00EC6899"/>
    <w:rsid w:val="00ED106F"/>
    <w:rsid w:val="00ED39FD"/>
    <w:rsid w:val="00ED3DF2"/>
    <w:rsid w:val="00ED4BA5"/>
    <w:rsid w:val="00ED536A"/>
    <w:rsid w:val="00ED7502"/>
    <w:rsid w:val="00ED7B8F"/>
    <w:rsid w:val="00EE3115"/>
    <w:rsid w:val="00F00328"/>
    <w:rsid w:val="00F004FE"/>
    <w:rsid w:val="00F07BBF"/>
    <w:rsid w:val="00F163A9"/>
    <w:rsid w:val="00F26FEA"/>
    <w:rsid w:val="00F31E99"/>
    <w:rsid w:val="00F51B57"/>
    <w:rsid w:val="00F52D9A"/>
    <w:rsid w:val="00F56F6C"/>
    <w:rsid w:val="00F61358"/>
    <w:rsid w:val="00F622E3"/>
    <w:rsid w:val="00F77BF7"/>
    <w:rsid w:val="00F8002E"/>
    <w:rsid w:val="00F84F53"/>
    <w:rsid w:val="00F93BBE"/>
    <w:rsid w:val="00F95015"/>
    <w:rsid w:val="00F95922"/>
    <w:rsid w:val="00F97B2C"/>
    <w:rsid w:val="00FA19B9"/>
    <w:rsid w:val="00FA7471"/>
    <w:rsid w:val="00FB0F11"/>
    <w:rsid w:val="00FC0D33"/>
    <w:rsid w:val="00FC134F"/>
    <w:rsid w:val="00FD1A48"/>
    <w:rsid w:val="00FD2EE6"/>
    <w:rsid w:val="00FD4CDC"/>
    <w:rsid w:val="00FD68DC"/>
    <w:rsid w:val="00FE030A"/>
    <w:rsid w:val="00FF25D5"/>
    <w:rsid w:val="00FF6A7A"/>
    <w:rsid w:val="08193505"/>
    <w:rsid w:val="348D3800"/>
    <w:rsid w:val="5D8E7292"/>
    <w:rsid w:val="672C0ED3"/>
    <w:rsid w:val="6B13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18"/>
    <w:unhideWhenUsed/>
    <w:uiPriority w:val="99"/>
    <w:pPr>
      <w:jc w:val="left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Myriad Pro" w:hAnsi="Myriad Pro" w:eastAsia="Myriad Pro" w:cs="Myriad Pro"/>
      <w:color w:val="000000"/>
      <w:sz w:val="24"/>
      <w:szCs w:val="24"/>
      <w:lang w:val="en-US" w:eastAsia="zh-CN" w:bidi="ar-SA"/>
    </w:rPr>
  </w:style>
  <w:style w:type="character" w:customStyle="1" w:styleId="18">
    <w:name w:val="批注文字 字符"/>
    <w:link w:val="4"/>
    <w:qFormat/>
    <w:uiPriority w:val="99"/>
    <w:rPr>
      <w:kern w:val="2"/>
      <w:sz w:val="21"/>
      <w:szCs w:val="24"/>
    </w:rPr>
  </w:style>
  <w:style w:type="character" w:customStyle="1" w:styleId="19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basedOn w:val="12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  <w:style w:type="character" w:customStyle="1" w:styleId="22">
    <w:name w:val="A3"/>
    <w:qFormat/>
    <w:uiPriority w:val="99"/>
    <w:rPr>
      <w:rFonts w:cs="FZLanTingHei-R-GBK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3EB858-C3E3-4FF6-BF42-ADE41B05E0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mr</Company>
  <Pages>1</Pages>
  <Words>559</Words>
  <Characters>657</Characters>
  <Lines>12</Lines>
  <Paragraphs>3</Paragraphs>
  <TotalTime>15</TotalTime>
  <ScaleCrop>false</ScaleCrop>
  <LinksUpToDate>false</LinksUpToDate>
  <CharactersWithSpaces>662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2020-08-03T02:46:00Z</dcterms:created>
  <dc:creator>50212362</dc:creator>
  <cp:lastModifiedBy>至诚之力</cp:lastModifiedBy>
  <cp:lastPrinted>2024-09-09T02:49:29Z</cp:lastPrinted>
  <dcterms:modified xsi:type="dcterms:W3CDTF">2024-09-09T02:49:33Z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35149D45BA7646FDB57C2D56B50043E1_13</vt:lpwstr>
  </property>
</Properties>
</file>