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FEAEB">
      <w:pPr>
        <w:autoSpaceDE w:val="0"/>
        <w:autoSpaceDN w:val="0"/>
        <w:adjustRightInd w:val="0"/>
        <w:spacing w:line="360" w:lineRule="auto"/>
        <w:jc w:val="center"/>
        <w:rPr>
          <w:rFonts w:hint="default" w:cs="宋体" w:asciiTheme="minorEastAsia" w:hAnsiTheme="minorEastAsia" w:eastAsiaTheme="minorEastAsia"/>
          <w:b/>
          <w:sz w:val="30"/>
          <w:szCs w:val="30"/>
          <w:lang w:val="en-US" w:eastAsia="zh-CN"/>
        </w:rPr>
      </w:pPr>
      <w:bookmarkStart w:id="0" w:name="_GoBack"/>
      <w:bookmarkEnd w:id="0"/>
      <w:r>
        <w:rPr>
          <w:rFonts w:hint="eastAsia" w:cs="宋体" w:asciiTheme="minorEastAsia" w:hAnsiTheme="minorEastAsia"/>
          <w:b/>
          <w:sz w:val="30"/>
          <w:szCs w:val="30"/>
          <w:lang w:val="en-US" w:eastAsia="zh-CN"/>
        </w:rPr>
        <w:t>高端监护仪技术参数</w:t>
      </w:r>
    </w:p>
    <w:p w14:paraId="724B7563">
      <w:pPr>
        <w:autoSpaceDE w:val="0"/>
        <w:autoSpaceDN w:val="0"/>
        <w:adjustRightInd w:val="0"/>
        <w:spacing w:line="360" w:lineRule="auto"/>
        <w:rPr>
          <w:rFonts w:cs="宋体" w:asciiTheme="minorEastAsia" w:hAnsiTheme="minorEastAsia"/>
          <w:b/>
          <w:sz w:val="24"/>
          <w:szCs w:val="24"/>
        </w:rPr>
      </w:pPr>
      <w:r>
        <w:rPr>
          <w:rFonts w:hint="eastAsia" w:cs="宋体" w:asciiTheme="minorEastAsia" w:hAnsiTheme="minorEastAsia"/>
          <w:b/>
          <w:sz w:val="24"/>
          <w:szCs w:val="24"/>
        </w:rPr>
        <w:t>监护仪结构：</w:t>
      </w:r>
    </w:p>
    <w:p w14:paraId="35FF49D1">
      <w:pPr>
        <w:widowControl w:val="0"/>
        <w:numPr>
          <w:ilvl w:val="0"/>
          <w:numId w:val="1"/>
        </w:numPr>
        <w:autoSpaceDE w:val="0"/>
        <w:autoSpaceDN w:val="0"/>
        <w:adjustRightInd w:val="0"/>
        <w:spacing w:after="0" w:line="360" w:lineRule="auto"/>
        <w:rPr>
          <w:rFonts w:cs="宋体" w:asciiTheme="minorEastAsia" w:hAnsiTheme="minorEastAsia"/>
          <w:sz w:val="24"/>
          <w:szCs w:val="24"/>
        </w:rPr>
      </w:pPr>
      <w:r>
        <w:rPr>
          <w:rFonts w:hint="eastAsia" w:asciiTheme="minorEastAsia" w:hAnsiTheme="minorEastAsia"/>
          <w:sz w:val="24"/>
          <w:szCs w:val="24"/>
        </w:rPr>
        <w:t>模块化插件式床边监护仪，主机、显示屏和插件槽一体化设计，主机插槽数≥4个.</w:t>
      </w:r>
    </w:p>
    <w:p w14:paraId="7740DDE9">
      <w:pPr>
        <w:widowControl w:val="0"/>
        <w:numPr>
          <w:ilvl w:val="0"/>
          <w:numId w:val="1"/>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sz w:val="24"/>
          <w:szCs w:val="24"/>
        </w:rPr>
        <w:t>≥12.1英寸彩色电容触摸屏，高分辨率达128</w:t>
      </w:r>
      <w:r>
        <w:rPr>
          <w:rFonts w:asciiTheme="minorEastAsia" w:hAnsiTheme="minorEastAsia"/>
          <w:sz w:val="24"/>
          <w:szCs w:val="24"/>
        </w:rPr>
        <w:t>0</w:t>
      </w:r>
      <w:r>
        <w:rPr>
          <w:rFonts w:hint="eastAsia" w:asciiTheme="minorEastAsia" w:hAnsiTheme="minorEastAsia"/>
          <w:sz w:val="24"/>
          <w:szCs w:val="24"/>
        </w:rPr>
        <w:t>*80</w:t>
      </w:r>
      <w:r>
        <w:rPr>
          <w:rFonts w:asciiTheme="minorEastAsia" w:hAnsiTheme="minorEastAsia"/>
          <w:sz w:val="24"/>
          <w:szCs w:val="24"/>
        </w:rPr>
        <w:t>0</w:t>
      </w:r>
      <w:r>
        <w:rPr>
          <w:rFonts w:hint="eastAsia" w:asciiTheme="minorEastAsia" w:hAnsiTheme="minorEastAsia"/>
          <w:sz w:val="24"/>
          <w:szCs w:val="24"/>
        </w:rPr>
        <w:t>像素，8通道显示，</w:t>
      </w:r>
      <w:r>
        <w:rPr>
          <w:rFonts w:asciiTheme="minorEastAsia" w:hAnsiTheme="minorEastAsia"/>
          <w:sz w:val="24"/>
          <w:szCs w:val="24"/>
        </w:rPr>
        <w:t>显示屏亮度自动调节</w:t>
      </w:r>
    </w:p>
    <w:p w14:paraId="04F33B1A">
      <w:pPr>
        <w:widowControl w:val="0"/>
        <w:numPr>
          <w:ilvl w:val="0"/>
          <w:numId w:val="1"/>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sz w:val="24"/>
          <w:szCs w:val="24"/>
        </w:rPr>
        <w:t>采用无风扇设计，配置≥4个USB接口，支持连接存储介质、鼠标、键盘、条码扫描枪等USB设备</w:t>
      </w:r>
    </w:p>
    <w:p w14:paraId="327560D8">
      <w:pPr>
        <w:autoSpaceDE w:val="0"/>
        <w:autoSpaceDN w:val="0"/>
        <w:adjustRightInd w:val="0"/>
        <w:spacing w:line="360" w:lineRule="auto"/>
        <w:rPr>
          <w:rFonts w:cs="宋体" w:asciiTheme="minorEastAsia" w:hAnsiTheme="minorEastAsia"/>
          <w:b/>
          <w:sz w:val="24"/>
          <w:szCs w:val="24"/>
        </w:rPr>
      </w:pPr>
      <w:r>
        <w:rPr>
          <w:rFonts w:hint="eastAsia" w:cs="宋体" w:asciiTheme="minorEastAsia" w:hAnsiTheme="minorEastAsia"/>
          <w:b/>
          <w:sz w:val="24"/>
          <w:szCs w:val="24"/>
        </w:rPr>
        <w:t>监测参数：</w:t>
      </w:r>
    </w:p>
    <w:p w14:paraId="050664AC">
      <w:pPr>
        <w:widowControl w:val="0"/>
        <w:numPr>
          <w:ilvl w:val="0"/>
          <w:numId w:val="1"/>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sz w:val="24"/>
          <w:szCs w:val="24"/>
        </w:rPr>
        <w:t>基本功能模块支持心电，呼吸，心率，无创血压，血氧饱和度，脉搏，双通道体温和双通道有创血压的同时监测</w:t>
      </w:r>
    </w:p>
    <w:p w14:paraId="6BF48A72">
      <w:pPr>
        <w:widowControl w:val="0"/>
        <w:numPr>
          <w:ilvl w:val="0"/>
          <w:numId w:val="1"/>
        </w:numPr>
        <w:autoSpaceDE w:val="0"/>
        <w:autoSpaceDN w:val="0"/>
        <w:adjustRightInd w:val="0"/>
        <w:spacing w:after="0" w:line="360" w:lineRule="auto"/>
        <w:rPr>
          <w:rFonts w:asciiTheme="minorEastAsia" w:hAnsiTheme="minorEastAsia"/>
          <w:sz w:val="24"/>
          <w:szCs w:val="24"/>
        </w:rPr>
      </w:pPr>
      <w:r>
        <w:rPr>
          <w:rFonts w:hint="eastAsia" w:ascii="宋体" w:hAnsi="宋体" w:eastAsia="宋体" w:cs="宋体"/>
          <w:sz w:val="24"/>
          <w:szCs w:val="24"/>
        </w:rPr>
        <w:t>▲</w:t>
      </w:r>
      <w:r>
        <w:rPr>
          <w:rFonts w:hint="eastAsia" w:asciiTheme="minorEastAsia" w:hAnsiTheme="minorEastAsia"/>
          <w:sz w:val="24"/>
          <w:szCs w:val="24"/>
        </w:rPr>
        <w:t>基本功能模块支持升级从监护仪拔出后作为一个独立的监护仪支持病人的无缝转移，具有显示屏，屏幕尺寸≥5英寸，内置锂电池供电≥</w:t>
      </w:r>
      <w:r>
        <w:rPr>
          <w:rFonts w:hint="eastAsia" w:asciiTheme="minorEastAsia" w:hAnsiTheme="minorEastAsia"/>
          <w:sz w:val="24"/>
          <w:szCs w:val="24"/>
          <w:lang w:val="en-US" w:eastAsia="zh-CN"/>
        </w:rPr>
        <w:t>6</w:t>
      </w:r>
      <w:r>
        <w:rPr>
          <w:rFonts w:hint="eastAsia" w:asciiTheme="minorEastAsia" w:hAnsiTheme="minorEastAsia"/>
          <w:sz w:val="24"/>
          <w:szCs w:val="24"/>
        </w:rPr>
        <w:t>小时，无风扇设计</w:t>
      </w:r>
    </w:p>
    <w:p w14:paraId="53F4C267">
      <w:pPr>
        <w:widowControl w:val="0"/>
        <w:numPr>
          <w:ilvl w:val="0"/>
          <w:numId w:val="1"/>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sz w:val="24"/>
          <w:szCs w:val="24"/>
        </w:rPr>
        <w:t>支持房颤</w:t>
      </w:r>
      <w:r>
        <w:rPr>
          <w:rFonts w:hint="eastAsia" w:asciiTheme="minorEastAsia" w:hAnsiTheme="minorEastAsia"/>
          <w:sz w:val="24"/>
          <w:szCs w:val="24"/>
          <w:lang w:val="en-US" w:eastAsia="zh-CN"/>
        </w:rPr>
        <w:t>及</w:t>
      </w:r>
      <w:r>
        <w:rPr>
          <w:rFonts w:hint="eastAsia" w:ascii="宋体" w:hAnsi="宋体" w:eastAsia="宋体" w:cs="宋体"/>
          <w:b w:val="0"/>
          <w:bCs w:val="0"/>
          <w:color w:val="auto"/>
          <w:sz w:val="24"/>
          <w:szCs w:val="24"/>
        </w:rPr>
        <w:t>室上性心动过速和SVCs/min等室上性</w:t>
      </w:r>
      <w:r>
        <w:rPr>
          <w:rFonts w:hint="eastAsia" w:asciiTheme="minorEastAsia" w:hAnsiTheme="minorEastAsia"/>
          <w:sz w:val="24"/>
          <w:szCs w:val="24"/>
        </w:rPr>
        <w:t>心律失常分析功能，支持≥2</w:t>
      </w:r>
      <w:r>
        <w:rPr>
          <w:rFonts w:hint="eastAsia" w:asciiTheme="minorEastAsia" w:hAnsiTheme="minorEastAsia"/>
          <w:sz w:val="24"/>
          <w:szCs w:val="24"/>
          <w:lang w:val="en-US" w:eastAsia="zh-CN"/>
        </w:rPr>
        <w:t>7</w:t>
      </w:r>
      <w:r>
        <w:rPr>
          <w:rFonts w:hint="eastAsia" w:asciiTheme="minorEastAsia" w:hAnsiTheme="minorEastAsia"/>
          <w:sz w:val="24"/>
          <w:szCs w:val="24"/>
        </w:rPr>
        <w:t>种实时心律失常分析</w:t>
      </w:r>
    </w:p>
    <w:p w14:paraId="5CB871EF">
      <w:pPr>
        <w:widowControl w:val="0"/>
        <w:numPr>
          <w:ilvl w:val="0"/>
          <w:numId w:val="1"/>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sz w:val="24"/>
          <w:szCs w:val="24"/>
        </w:rPr>
        <w:t>支持≥4通道心电进行多导心电分析</w:t>
      </w:r>
    </w:p>
    <w:p w14:paraId="41D871AF">
      <w:pPr>
        <w:widowControl w:val="0"/>
        <w:numPr>
          <w:ilvl w:val="0"/>
          <w:numId w:val="1"/>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sz w:val="24"/>
          <w:szCs w:val="24"/>
        </w:rPr>
        <w:t>提供ST段分析功能，适用于成人，小儿和新生儿，</w:t>
      </w:r>
      <w:r>
        <w:rPr>
          <w:rFonts w:hint="eastAsia" w:asciiTheme="minorEastAsia" w:hAnsiTheme="minorEastAsia"/>
          <w:color w:val="000000" w:themeColor="text1"/>
          <w:sz w:val="24"/>
          <w:szCs w:val="24"/>
          <w14:textFill>
            <w14:solidFill>
              <w14:schemeClr w14:val="tx1"/>
            </w14:solidFill>
          </w14:textFill>
        </w:rPr>
        <w:t>支持在专门的窗口中分组显示心脏前壁，下壁和侧壁的ST实时片段和参考片段</w:t>
      </w:r>
      <w:r>
        <w:rPr>
          <w:rFonts w:hint="eastAsia" w:asciiTheme="minorEastAsia" w:hAnsiTheme="minorEastAsia"/>
          <w:sz w:val="24"/>
          <w:szCs w:val="24"/>
        </w:rPr>
        <w:t xml:space="preserve"> </w:t>
      </w:r>
    </w:p>
    <w:p w14:paraId="31FE6A7A">
      <w:pPr>
        <w:widowControl w:val="0"/>
        <w:numPr>
          <w:ilvl w:val="0"/>
          <w:numId w:val="1"/>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color w:val="000000" w:themeColor="text1"/>
          <w:sz w:val="24"/>
          <w:szCs w:val="24"/>
          <w14:textFill>
            <w14:solidFill>
              <w14:schemeClr w14:val="tx1"/>
            </w14:solidFill>
          </w14:textFill>
        </w:rPr>
        <w:t>支持RR呼吸率测量，测量范围：</w:t>
      </w:r>
      <w:r>
        <w:rPr>
          <w:rFonts w:asciiTheme="minorEastAsia" w:hAnsiTheme="minorEastAsia"/>
          <w:color w:val="000000" w:themeColor="text1"/>
          <w:sz w:val="24"/>
          <w:szCs w:val="24"/>
          <w14:textFill>
            <w14:solidFill>
              <w14:schemeClr w14:val="tx1"/>
            </w14:solidFill>
          </w14:textFill>
        </w:rPr>
        <w:t>0~200rpm</w:t>
      </w:r>
    </w:p>
    <w:p w14:paraId="53CBB41E">
      <w:pPr>
        <w:widowControl w:val="0"/>
        <w:numPr>
          <w:ilvl w:val="0"/>
          <w:numId w:val="1"/>
        </w:numPr>
        <w:autoSpaceDE w:val="0"/>
        <w:autoSpaceDN w:val="0"/>
        <w:adjustRightInd w:val="0"/>
        <w:spacing w:after="0" w:line="360" w:lineRule="auto"/>
        <w:rPr>
          <w:rFonts w:asciiTheme="minorEastAsia" w:hAnsiTheme="minorEastAsia"/>
          <w:sz w:val="24"/>
          <w:szCs w:val="24"/>
        </w:rPr>
      </w:pPr>
      <w:r>
        <w:rPr>
          <w:rFonts w:asciiTheme="minorEastAsia" w:hAnsiTheme="minorEastAsia"/>
          <w:sz w:val="24"/>
          <w:szCs w:val="24"/>
        </w:rPr>
        <w:t>具有</w:t>
      </w:r>
      <w:r>
        <w:rPr>
          <w:rFonts w:hint="eastAsia" w:asciiTheme="minorEastAsia" w:hAnsiTheme="minorEastAsia"/>
          <w:sz w:val="24"/>
          <w:szCs w:val="24"/>
        </w:rPr>
        <w:t>QT/QTc实时连续测量功能，提供QT，QTc和ΔQTc参数值的显示</w:t>
      </w:r>
    </w:p>
    <w:p w14:paraId="1BDACB25">
      <w:pPr>
        <w:widowControl w:val="0"/>
        <w:numPr>
          <w:ilvl w:val="0"/>
          <w:numId w:val="1"/>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sz w:val="24"/>
          <w:szCs w:val="24"/>
        </w:rPr>
        <w:t>无创血压适用于成人，小儿和新生儿</w:t>
      </w:r>
    </w:p>
    <w:p w14:paraId="4612FFF5">
      <w:pPr>
        <w:widowControl w:val="0"/>
        <w:numPr>
          <w:ilvl w:val="0"/>
          <w:numId w:val="1"/>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sz w:val="24"/>
          <w:szCs w:val="24"/>
        </w:rPr>
        <w:t>无创血压</w:t>
      </w:r>
      <w:r>
        <w:rPr>
          <w:rFonts w:asciiTheme="minorEastAsia" w:hAnsiTheme="minorEastAsia"/>
          <w:sz w:val="24"/>
          <w:szCs w:val="24"/>
        </w:rPr>
        <w:t>提供手动、自动间隔、连续</w:t>
      </w:r>
      <w:r>
        <w:rPr>
          <w:rFonts w:hint="eastAsia" w:asciiTheme="minorEastAsia" w:hAnsiTheme="minorEastAsia"/>
          <w:sz w:val="24"/>
          <w:szCs w:val="24"/>
        </w:rPr>
        <w:t>、</w:t>
      </w:r>
      <w:r>
        <w:rPr>
          <w:rFonts w:asciiTheme="minorEastAsia" w:hAnsiTheme="minorEastAsia"/>
          <w:sz w:val="24"/>
          <w:szCs w:val="24"/>
        </w:rPr>
        <w:t>序列</w:t>
      </w:r>
      <w:r>
        <w:rPr>
          <w:rFonts w:hint="eastAsia" w:asciiTheme="minorEastAsia" w:hAnsiTheme="minorEastAsia"/>
          <w:sz w:val="24"/>
          <w:szCs w:val="24"/>
        </w:rPr>
        <w:t>四</w:t>
      </w:r>
      <w:r>
        <w:rPr>
          <w:rFonts w:asciiTheme="minorEastAsia" w:hAnsiTheme="minorEastAsia"/>
          <w:sz w:val="24"/>
          <w:szCs w:val="24"/>
        </w:rPr>
        <w:t>种测量模式</w:t>
      </w:r>
    </w:p>
    <w:p w14:paraId="3EA09356">
      <w:pPr>
        <w:widowControl w:val="0"/>
        <w:numPr>
          <w:ilvl w:val="0"/>
          <w:numId w:val="1"/>
        </w:numPr>
        <w:tabs>
          <w:tab w:val="left" w:pos="720"/>
          <w:tab w:val="clear" w:pos="704"/>
        </w:tabs>
        <w:autoSpaceDE w:val="0"/>
        <w:autoSpaceDN w:val="0"/>
        <w:adjustRightInd w:val="0"/>
        <w:spacing w:after="0" w:line="360" w:lineRule="auto"/>
        <w:rPr>
          <w:rFonts w:asciiTheme="minorEastAsia" w:hAnsiTheme="minorEastAsia"/>
          <w:sz w:val="24"/>
          <w:szCs w:val="24"/>
        </w:rPr>
      </w:pPr>
      <w:r>
        <w:rPr>
          <w:rFonts w:hint="eastAsia" w:ascii="宋体" w:hAnsi="宋体" w:eastAsia="宋体" w:cs="宋体"/>
          <w:sz w:val="24"/>
          <w:szCs w:val="24"/>
        </w:rPr>
        <w:t>▲</w:t>
      </w:r>
      <w:r>
        <w:rPr>
          <w:rFonts w:asciiTheme="minorEastAsia" w:hAnsiTheme="minorEastAsia"/>
          <w:color w:val="000000" w:themeColor="text1"/>
          <w:sz w:val="24"/>
          <w:szCs w:val="24"/>
          <w14:textFill>
            <w14:solidFill>
              <w14:schemeClr w14:val="tx1"/>
            </w14:solidFill>
          </w14:textFill>
        </w:rPr>
        <w:t>N</w:t>
      </w:r>
      <w:r>
        <w:rPr>
          <w:rFonts w:asciiTheme="minorEastAsia" w:hAnsiTheme="minorEastAsia"/>
          <w:sz w:val="24"/>
          <w:szCs w:val="24"/>
        </w:rPr>
        <w:t xml:space="preserve">IBP </w:t>
      </w:r>
      <w:r>
        <w:rPr>
          <w:rFonts w:hint="eastAsia" w:asciiTheme="minorEastAsia" w:hAnsiTheme="minorEastAsia"/>
          <w:sz w:val="24"/>
          <w:szCs w:val="24"/>
        </w:rPr>
        <w:t>成人病人类型收缩压测量：</w:t>
      </w:r>
      <w:r>
        <w:rPr>
          <w:rFonts w:asciiTheme="minorEastAsia" w:hAnsiTheme="minorEastAsia"/>
          <w:sz w:val="24"/>
          <w:szCs w:val="24"/>
        </w:rPr>
        <w:t>25~290mmHg</w:t>
      </w:r>
    </w:p>
    <w:p w14:paraId="4F3EF2B7">
      <w:pPr>
        <w:widowControl w:val="0"/>
        <w:numPr>
          <w:ilvl w:val="0"/>
          <w:numId w:val="1"/>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sz w:val="24"/>
          <w:szCs w:val="24"/>
        </w:rPr>
        <w:t>血氧监测适用于成人，小儿和新生儿，提供灌注指数（PI）的监测</w:t>
      </w:r>
    </w:p>
    <w:p w14:paraId="063C7F74">
      <w:pPr>
        <w:widowControl w:val="0"/>
        <w:numPr>
          <w:ilvl w:val="0"/>
          <w:numId w:val="1"/>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sz w:val="24"/>
          <w:szCs w:val="24"/>
        </w:rPr>
        <w:t>配置指套式血氧探头，支持浸泡清洁与消毒，防水等级IPx7</w:t>
      </w:r>
    </w:p>
    <w:p w14:paraId="631209C8">
      <w:pPr>
        <w:widowControl w:val="0"/>
        <w:numPr>
          <w:ilvl w:val="0"/>
          <w:numId w:val="1"/>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sz w:val="24"/>
          <w:szCs w:val="24"/>
        </w:rPr>
        <w:t>支持双通道有创压IBP监测，支持升级多达4通道有创压监测，</w:t>
      </w:r>
      <w:r>
        <w:rPr>
          <w:rFonts w:asciiTheme="minorEastAsia" w:hAnsiTheme="minorEastAsia"/>
          <w:color w:val="000000" w:themeColor="text1"/>
          <w:sz w:val="24"/>
          <w:szCs w:val="24"/>
          <w14:textFill>
            <w14:solidFill>
              <w14:schemeClr w14:val="tx1"/>
            </w14:solidFill>
          </w14:textFill>
        </w:rPr>
        <w:t>IBP</w:t>
      </w:r>
      <w:r>
        <w:rPr>
          <w:rFonts w:hint="eastAsia" w:asciiTheme="minorEastAsia" w:hAnsiTheme="minorEastAsia"/>
          <w:color w:val="000000" w:themeColor="text1"/>
          <w:sz w:val="24"/>
          <w:szCs w:val="24"/>
          <w14:textFill>
            <w14:solidFill>
              <w14:schemeClr w14:val="tx1"/>
            </w14:solidFill>
          </w14:textFill>
        </w:rPr>
        <w:t>有创压测量范围：</w:t>
      </w:r>
      <w:r>
        <w:rPr>
          <w:rFonts w:asciiTheme="minorEastAsia" w:hAnsiTheme="minorEastAsia"/>
          <w:color w:val="000000" w:themeColor="text1"/>
          <w:sz w:val="24"/>
          <w:szCs w:val="24"/>
          <w14:textFill>
            <w14:solidFill>
              <w14:schemeClr w14:val="tx1"/>
            </w14:solidFill>
          </w14:textFill>
        </w:rPr>
        <w:t>-50~360mmHg</w:t>
      </w:r>
    </w:p>
    <w:p w14:paraId="78831509">
      <w:pPr>
        <w:widowControl w:val="0"/>
        <w:numPr>
          <w:ilvl w:val="0"/>
          <w:numId w:val="1"/>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sz w:val="24"/>
          <w:szCs w:val="24"/>
        </w:rPr>
        <w:t>提供肺动脉锲压（PAWP）的监测和PPV参数监测</w:t>
      </w:r>
      <w:r>
        <w:rPr>
          <w:rFonts w:asciiTheme="minorEastAsia" w:hAnsiTheme="minorEastAsia"/>
          <w:sz w:val="24"/>
          <w:szCs w:val="24"/>
        </w:rPr>
        <w:t xml:space="preserve"> </w:t>
      </w:r>
    </w:p>
    <w:p w14:paraId="35FEC6CD">
      <w:pPr>
        <w:widowControl w:val="0"/>
        <w:numPr>
          <w:ilvl w:val="0"/>
          <w:numId w:val="1"/>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sz w:val="24"/>
          <w:szCs w:val="24"/>
        </w:rPr>
        <w:t>支持多达4道IBP波形叠加显示，满足临床对比查看和节约显示空间的需求</w:t>
      </w:r>
    </w:p>
    <w:p w14:paraId="337BF1AA">
      <w:pPr>
        <w:widowControl w:val="0"/>
        <w:numPr>
          <w:ilvl w:val="0"/>
          <w:numId w:val="1"/>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sz w:val="24"/>
          <w:szCs w:val="24"/>
        </w:rPr>
        <w:t>支持升级EtCO2监测模块，采用旁流技术，支持升级顺磁氧监测技术进行氧气监测，水槽要求易用快速更换</w:t>
      </w:r>
    </w:p>
    <w:p w14:paraId="3FC99AB7">
      <w:pPr>
        <w:widowControl w:val="0"/>
        <w:numPr>
          <w:ilvl w:val="0"/>
          <w:numId w:val="1"/>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sz w:val="24"/>
          <w:szCs w:val="24"/>
        </w:rPr>
        <w:t>支持升级模块，进行BIS，NMT参数监测，并通过三类注册</w:t>
      </w:r>
    </w:p>
    <w:p w14:paraId="6BCCAB6B">
      <w:pPr>
        <w:pStyle w:val="11"/>
        <w:widowControl w:val="0"/>
        <w:numPr>
          <w:ilvl w:val="0"/>
          <w:numId w:val="1"/>
        </w:numPr>
        <w:autoSpaceDE w:val="0"/>
        <w:autoSpaceDN w:val="0"/>
        <w:adjustRightInd w:val="0"/>
        <w:spacing w:line="360" w:lineRule="auto"/>
        <w:ind w:firstLineChars="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支持升级模块，与主流呼吸机品牌的呼吸机相连，实现呼吸机设备的信息在监护仪上显示、存储、记录、打印或者用于参与计算。</w:t>
      </w:r>
    </w:p>
    <w:p w14:paraId="5B3FADCD">
      <w:pPr>
        <w:pStyle w:val="11"/>
        <w:widowControl w:val="0"/>
        <w:numPr>
          <w:ilvl w:val="0"/>
          <w:numId w:val="1"/>
        </w:numPr>
        <w:autoSpaceDE w:val="0"/>
        <w:autoSpaceDN w:val="0"/>
        <w:adjustRightInd w:val="0"/>
        <w:spacing w:line="360" w:lineRule="auto"/>
        <w:ind w:firstLineChars="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val="en-US" w:eastAsia="zh-CN"/>
          <w14:textFill>
            <w14:solidFill>
              <w14:schemeClr w14:val="tx1"/>
            </w14:solidFill>
          </w14:textFill>
        </w:rPr>
        <w:t>标配锂电池</w:t>
      </w:r>
    </w:p>
    <w:p w14:paraId="7F13B469">
      <w:pPr>
        <w:spacing w:line="360" w:lineRule="auto"/>
        <w:ind w:right="-512" w:rightChars="-244"/>
        <w:rPr>
          <w:rFonts w:asciiTheme="minorEastAsia" w:hAnsiTheme="minorEastAsia"/>
          <w:b/>
          <w:sz w:val="24"/>
          <w:szCs w:val="24"/>
        </w:rPr>
      </w:pPr>
      <w:r>
        <w:rPr>
          <w:rFonts w:hint="eastAsia" w:asciiTheme="minorEastAsia" w:hAnsiTheme="minorEastAsia"/>
          <w:b/>
          <w:sz w:val="24"/>
          <w:szCs w:val="24"/>
        </w:rPr>
        <w:t>系统功能：</w:t>
      </w:r>
    </w:p>
    <w:p w14:paraId="5DF1788B">
      <w:pPr>
        <w:widowControl w:val="0"/>
        <w:numPr>
          <w:ilvl w:val="0"/>
          <w:numId w:val="1"/>
        </w:numPr>
        <w:spacing w:after="0" w:line="360" w:lineRule="auto"/>
        <w:jc w:val="both"/>
        <w:rPr>
          <w:rFonts w:asciiTheme="minorEastAsia" w:hAnsiTheme="minorEastAsia"/>
          <w:color w:val="000000" w:themeColor="text1"/>
          <w:sz w:val="24"/>
          <w:szCs w:val="24"/>
          <w14:textFill>
            <w14:solidFill>
              <w14:schemeClr w14:val="tx1"/>
            </w14:solidFill>
          </w14:textFill>
        </w:rPr>
      </w:pPr>
      <w:r>
        <w:rPr>
          <w:rFonts w:asciiTheme="minorEastAsia" w:hAnsiTheme="minorEastAsia"/>
          <w:sz w:val="24"/>
          <w:szCs w:val="24"/>
        </w:rPr>
        <w:t>具有图形化报警指示功能，看报警信息更容易</w:t>
      </w:r>
    </w:p>
    <w:p w14:paraId="07D79498">
      <w:pPr>
        <w:widowControl w:val="0"/>
        <w:numPr>
          <w:ilvl w:val="0"/>
          <w:numId w:val="1"/>
        </w:numPr>
        <w:spacing w:after="0" w:line="360" w:lineRule="auto"/>
        <w:jc w:val="both"/>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标配具备血液动力学，药物计算，氧合计算，通气计算和肾功能计算功能</w:t>
      </w:r>
    </w:p>
    <w:p w14:paraId="7886412A">
      <w:pPr>
        <w:widowControl w:val="0"/>
        <w:numPr>
          <w:ilvl w:val="0"/>
          <w:numId w:val="1"/>
        </w:numPr>
        <w:spacing w:after="0" w:line="360" w:lineRule="auto"/>
        <w:jc w:val="both"/>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sz w:val="24"/>
          <w:szCs w:val="24"/>
        </w:rPr>
        <w:t>支持≥120小时趋势表和趋势图回顾</w:t>
      </w:r>
      <w:r>
        <w:rPr>
          <w:rFonts w:hint="eastAsia" w:asciiTheme="minorEastAsia" w:hAnsiTheme="minorEastAsia"/>
          <w:color w:val="000000" w:themeColor="text1"/>
          <w:sz w:val="24"/>
          <w:szCs w:val="24"/>
          <w14:textFill>
            <w14:solidFill>
              <w14:schemeClr w14:val="tx1"/>
            </w14:solidFill>
          </w14:textFill>
        </w:rPr>
        <w:t>，</w:t>
      </w:r>
      <w:r>
        <w:rPr>
          <w:rFonts w:hint="eastAsia" w:asciiTheme="minorEastAsia" w:hAnsiTheme="minorEastAsia"/>
          <w:sz w:val="24"/>
          <w:szCs w:val="24"/>
        </w:rPr>
        <w:t>支持≥</w:t>
      </w:r>
      <w:r>
        <w:rPr>
          <w:rFonts w:asciiTheme="minorEastAsia" w:hAnsiTheme="minorEastAsia"/>
          <w:sz w:val="24"/>
          <w:szCs w:val="24"/>
        </w:rPr>
        <w:t>1000条事件回顾。每条报警事件至少能够存储</w:t>
      </w:r>
      <w:r>
        <w:rPr>
          <w:rFonts w:hint="eastAsia" w:asciiTheme="minorEastAsia" w:hAnsiTheme="minorEastAsia"/>
          <w:sz w:val="24"/>
          <w:szCs w:val="24"/>
        </w:rPr>
        <w:t>32秒三道相关波形，以及报警触发时所有测量参数值</w:t>
      </w:r>
    </w:p>
    <w:p w14:paraId="43683CC6">
      <w:pPr>
        <w:widowControl w:val="0"/>
        <w:numPr>
          <w:ilvl w:val="0"/>
          <w:numId w:val="1"/>
        </w:numPr>
        <w:spacing w:after="0" w:line="360" w:lineRule="auto"/>
        <w:jc w:val="both"/>
        <w:rPr>
          <w:rFonts w:asciiTheme="minorEastAsia" w:hAnsiTheme="minorEastAsia"/>
          <w:sz w:val="24"/>
          <w:szCs w:val="24"/>
        </w:rPr>
      </w:pPr>
      <w:r>
        <w:rPr>
          <w:rFonts w:hint="eastAsia" w:asciiTheme="minorEastAsia" w:hAnsiTheme="minorEastAsia"/>
          <w:color w:val="000000" w:themeColor="text1"/>
          <w:sz w:val="24"/>
          <w:szCs w:val="24"/>
          <w14:textFill>
            <w14:solidFill>
              <w14:schemeClr w14:val="tx1"/>
            </w14:solidFill>
          </w14:textFill>
        </w:rPr>
        <w:t>具备</w:t>
      </w:r>
      <w:r>
        <w:rPr>
          <w:rFonts w:hint="eastAsia" w:asciiTheme="minorEastAsia" w:hAnsiTheme="minorEastAsia"/>
          <w:sz w:val="24"/>
          <w:szCs w:val="24"/>
        </w:rPr>
        <w:t>≥</w:t>
      </w:r>
      <w:r>
        <w:rPr>
          <w:rFonts w:hint="eastAsia" w:asciiTheme="minorEastAsia" w:hAnsiTheme="minorEastAsia"/>
          <w:color w:val="000000" w:themeColor="text1"/>
          <w:sz w:val="24"/>
          <w:szCs w:val="24"/>
          <w14:textFill>
            <w14:solidFill>
              <w14:schemeClr w14:val="tx1"/>
            </w14:solidFill>
          </w14:textFill>
        </w:rPr>
        <w:t>40小时全息波形的存储与回顾功能</w:t>
      </w:r>
      <w:r>
        <w:rPr>
          <w:rFonts w:hint="eastAsia" w:asciiTheme="minorEastAsia" w:hAnsiTheme="minorEastAsia"/>
          <w:sz w:val="24"/>
          <w:szCs w:val="24"/>
        </w:rPr>
        <w:t>支持≥120小时ST波形片段的存储与回顾</w:t>
      </w:r>
    </w:p>
    <w:p w14:paraId="39F486E0">
      <w:pPr>
        <w:widowControl w:val="0"/>
        <w:numPr>
          <w:ilvl w:val="0"/>
          <w:numId w:val="1"/>
        </w:numPr>
        <w:spacing w:after="0" w:line="360" w:lineRule="auto"/>
        <w:jc w:val="both"/>
        <w:rPr>
          <w:rFonts w:asciiTheme="minorEastAsia" w:hAnsiTheme="minorEastAsia"/>
          <w:sz w:val="24"/>
          <w:szCs w:val="24"/>
        </w:rPr>
      </w:pPr>
      <w:r>
        <w:rPr>
          <w:rFonts w:hint="eastAsia" w:asciiTheme="minorEastAsia" w:hAnsiTheme="minorEastAsia"/>
          <w:sz w:val="24"/>
          <w:szCs w:val="24"/>
        </w:rPr>
        <w:t>患者离开科室，监护仪状态由接收患者到解除患者后，患者数据不删除，支持在监护仪回顾历史病人数据</w:t>
      </w:r>
    </w:p>
    <w:p w14:paraId="450B2670">
      <w:pPr>
        <w:widowControl w:val="0"/>
        <w:numPr>
          <w:ilvl w:val="0"/>
          <w:numId w:val="1"/>
        </w:numPr>
        <w:spacing w:after="0" w:line="360" w:lineRule="auto"/>
        <w:jc w:val="both"/>
        <w:rPr>
          <w:rFonts w:asciiTheme="minorEastAsia" w:hAnsiTheme="minorEastAsia"/>
          <w:sz w:val="24"/>
          <w:szCs w:val="24"/>
        </w:rPr>
      </w:pPr>
      <w:r>
        <w:rPr>
          <w:rFonts w:hint="eastAsia" w:asciiTheme="minorEastAsia" w:hAnsiTheme="minorEastAsia"/>
          <w:sz w:val="24"/>
          <w:szCs w:val="24"/>
        </w:rPr>
        <w:t>工作模式提供：监护模式、待机模式、</w:t>
      </w:r>
      <w:r>
        <w:rPr>
          <w:rFonts w:asciiTheme="minorEastAsia" w:hAnsiTheme="minorEastAsia"/>
          <w:sz w:val="24"/>
          <w:szCs w:val="24"/>
        </w:rPr>
        <w:t>体外循环模式模式、插管模式，夜间模式、隐私模式、演示模式</w:t>
      </w:r>
    </w:p>
    <w:p w14:paraId="7DFA176E">
      <w:pPr>
        <w:widowControl w:val="0"/>
        <w:numPr>
          <w:ilvl w:val="0"/>
          <w:numId w:val="1"/>
        </w:numPr>
        <w:spacing w:after="0" w:line="360" w:lineRule="auto"/>
        <w:jc w:val="both"/>
        <w:rPr>
          <w:rFonts w:asciiTheme="minorEastAsia" w:hAnsiTheme="minorEastAsia"/>
          <w:sz w:val="24"/>
          <w:szCs w:val="24"/>
        </w:rPr>
      </w:pPr>
      <w:r>
        <w:rPr>
          <w:rFonts w:hint="eastAsia" w:asciiTheme="minorEastAsia" w:hAnsiTheme="minorEastAsia"/>
          <w:sz w:val="24"/>
          <w:szCs w:val="24"/>
        </w:rPr>
        <w:t>支持与除颤监护仪，遥测混合联通至中心监护系统，实现护士站的集中管理</w:t>
      </w:r>
    </w:p>
    <w:p w14:paraId="2EA05217">
      <w:pPr>
        <w:widowControl w:val="0"/>
        <w:spacing w:after="0" w:line="360" w:lineRule="auto"/>
        <w:ind w:left="420"/>
        <w:jc w:val="both"/>
        <w:rPr>
          <w:rFonts w:asciiTheme="minorEastAsia" w:hAnsiTheme="minorEastAsia"/>
          <w:b/>
          <w:sz w:val="24"/>
          <w:szCs w:val="24"/>
        </w:rPr>
      </w:pPr>
      <w:r>
        <w:rPr>
          <w:rFonts w:hint="eastAsia" w:asciiTheme="minorEastAsia" w:hAnsiTheme="minorEastAsia"/>
          <w:b/>
          <w:sz w:val="24"/>
          <w:szCs w:val="24"/>
        </w:rPr>
        <w:t>产品设计与认证</w:t>
      </w:r>
    </w:p>
    <w:p w14:paraId="346799EB">
      <w:pPr>
        <w:pStyle w:val="11"/>
        <w:numPr>
          <w:ilvl w:val="0"/>
          <w:numId w:val="1"/>
        </w:numPr>
        <w:spacing w:line="360" w:lineRule="auto"/>
        <w:ind w:right="-512" w:rightChars="-244" w:firstLineChars="0"/>
        <w:rPr>
          <w:rFonts w:asciiTheme="minorEastAsia" w:hAnsiTheme="minorEastAsia"/>
        </w:rPr>
      </w:pPr>
      <w:r>
        <w:rPr>
          <w:rFonts w:hint="eastAsia" w:ascii="宋体" w:hAnsi="宋体" w:eastAsia="宋体" w:cs="宋体"/>
          <w:sz w:val="24"/>
          <w:szCs w:val="24"/>
        </w:rPr>
        <w:t>▲</w:t>
      </w:r>
      <w:r>
        <w:rPr>
          <w:rFonts w:hint="eastAsia" w:asciiTheme="minorEastAsia" w:hAnsiTheme="minorEastAsia"/>
        </w:rPr>
        <w:t>产品通过国家III类注册和FDA认证，产品设计使用年限</w:t>
      </w:r>
      <w:r>
        <w:rPr>
          <w:rFonts w:hint="eastAsia" w:asciiTheme="minorEastAsia" w:hAnsiTheme="minorEastAsia" w:eastAsiaTheme="minorEastAsia"/>
        </w:rPr>
        <w:t>≥</w:t>
      </w:r>
      <w:r>
        <w:rPr>
          <w:rFonts w:hint="eastAsia" w:asciiTheme="minorEastAsia" w:hAnsiTheme="minorEastAsia" w:eastAsiaTheme="minorEastAsia"/>
          <w:lang w:val="en-US" w:eastAsia="zh-CN"/>
        </w:rPr>
        <w:t>10</w:t>
      </w:r>
      <w:r>
        <w:rPr>
          <w:rFonts w:hint="eastAsia" w:asciiTheme="minorEastAsia" w:hAnsiTheme="minorEastAsia" w:eastAsiaTheme="minorEastAsia"/>
        </w:rPr>
        <w:t>年</w:t>
      </w:r>
    </w:p>
    <w:p w14:paraId="1B905439">
      <w:pPr>
        <w:pStyle w:val="11"/>
        <w:numPr>
          <w:ilvl w:val="0"/>
          <w:numId w:val="1"/>
        </w:numPr>
        <w:spacing w:line="360" w:lineRule="auto"/>
        <w:ind w:right="-512" w:rightChars="-244" w:firstLineChars="0"/>
        <w:rPr>
          <w:rFonts w:asciiTheme="minorEastAsia" w:hAnsiTheme="minorEastAsia"/>
        </w:rPr>
      </w:pPr>
      <w:r>
        <w:rPr>
          <w:rFonts w:hint="eastAsia" w:asciiTheme="minorEastAsia" w:hAnsiTheme="minorEastAsia" w:eastAsiaTheme="minorEastAsia"/>
        </w:rPr>
        <w:t>产品型号入选优秀国产医疗设备产品目录</w:t>
      </w:r>
    </w:p>
    <w:p w14:paraId="33672992">
      <w:pPr>
        <w:rPr>
          <w:rFonts w:hint="eastAsia"/>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6DFF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6AE61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66AE61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4" w:lineRule="auto"/>
      </w:pPr>
      <w:r>
        <w:separator/>
      </w:r>
    </w:p>
  </w:footnote>
  <w:footnote w:type="continuationSeparator" w:id="1">
    <w:p>
      <w:pPr>
        <w:spacing w:before="0" w:after="0" w:line="26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3A5A4B"/>
    <w:multiLevelType w:val="multilevel"/>
    <w:tmpl w:val="4A3A5A4B"/>
    <w:lvl w:ilvl="0" w:tentative="0">
      <w:start w:val="1"/>
      <w:numFmt w:val="decimal"/>
      <w:lvlText w:val="%1."/>
      <w:lvlJc w:val="left"/>
      <w:pPr>
        <w:tabs>
          <w:tab w:val="left" w:pos="704"/>
        </w:tabs>
        <w:ind w:left="704" w:hanging="42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1YThjYTk5NzQ2MWU5YjNjMjFjZjQxZWY2NGNlNjEifQ=="/>
    <w:docVar w:name="KSO_WPS_MARK_KEY" w:val="0f8d6942-ef1b-4cca-aafd-73253ed542d8"/>
  </w:docVars>
  <w:rsids>
    <w:rsidRoot w:val="008207C1"/>
    <w:rsid w:val="00015246"/>
    <w:rsid w:val="000223C8"/>
    <w:rsid w:val="000968C4"/>
    <w:rsid w:val="000D5182"/>
    <w:rsid w:val="000E0912"/>
    <w:rsid w:val="00172B8F"/>
    <w:rsid w:val="001C33D9"/>
    <w:rsid w:val="0020430D"/>
    <w:rsid w:val="002C2155"/>
    <w:rsid w:val="002C7D6F"/>
    <w:rsid w:val="00305458"/>
    <w:rsid w:val="00340689"/>
    <w:rsid w:val="0037133C"/>
    <w:rsid w:val="003C7331"/>
    <w:rsid w:val="003E095F"/>
    <w:rsid w:val="004178BD"/>
    <w:rsid w:val="004260C6"/>
    <w:rsid w:val="004445A9"/>
    <w:rsid w:val="00503E3F"/>
    <w:rsid w:val="00557EBD"/>
    <w:rsid w:val="005D23FB"/>
    <w:rsid w:val="006160E4"/>
    <w:rsid w:val="0063019F"/>
    <w:rsid w:val="006455C6"/>
    <w:rsid w:val="00691A73"/>
    <w:rsid w:val="0075173C"/>
    <w:rsid w:val="007C2F42"/>
    <w:rsid w:val="007C6387"/>
    <w:rsid w:val="007D1C10"/>
    <w:rsid w:val="007D64CF"/>
    <w:rsid w:val="008207C1"/>
    <w:rsid w:val="008619E4"/>
    <w:rsid w:val="008C2133"/>
    <w:rsid w:val="008E1E02"/>
    <w:rsid w:val="008F0CDE"/>
    <w:rsid w:val="00915264"/>
    <w:rsid w:val="0096575B"/>
    <w:rsid w:val="00966FAC"/>
    <w:rsid w:val="00975F0C"/>
    <w:rsid w:val="00981636"/>
    <w:rsid w:val="009C1945"/>
    <w:rsid w:val="009E1D11"/>
    <w:rsid w:val="00B079CE"/>
    <w:rsid w:val="00B36D21"/>
    <w:rsid w:val="00BB397F"/>
    <w:rsid w:val="00C012AB"/>
    <w:rsid w:val="00C13182"/>
    <w:rsid w:val="00C16965"/>
    <w:rsid w:val="00C22B7D"/>
    <w:rsid w:val="00C45CAD"/>
    <w:rsid w:val="00C66DD5"/>
    <w:rsid w:val="00CD0A38"/>
    <w:rsid w:val="00CE5026"/>
    <w:rsid w:val="00D11232"/>
    <w:rsid w:val="00D167D2"/>
    <w:rsid w:val="00D50386"/>
    <w:rsid w:val="00D90FA1"/>
    <w:rsid w:val="00DE1AFF"/>
    <w:rsid w:val="00EE4C3A"/>
    <w:rsid w:val="00F10808"/>
    <w:rsid w:val="00F1653D"/>
    <w:rsid w:val="00F17FD0"/>
    <w:rsid w:val="00F64A66"/>
    <w:rsid w:val="00FA009D"/>
    <w:rsid w:val="00FE1082"/>
    <w:rsid w:val="05F6352F"/>
    <w:rsid w:val="081926ED"/>
    <w:rsid w:val="0DC67C8B"/>
    <w:rsid w:val="1D1C1676"/>
    <w:rsid w:val="2C122AF9"/>
    <w:rsid w:val="34A02734"/>
    <w:rsid w:val="5742288B"/>
    <w:rsid w:val="60A4359F"/>
    <w:rsid w:val="6D7C29DA"/>
    <w:rsid w:val="7AE91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64" w:lineRule="auto"/>
    </w:pPr>
    <w:rPr>
      <w:rFonts w:asciiTheme="minorHAnsi" w:hAnsiTheme="minorHAnsi" w:eastAsiaTheme="minorEastAsia" w:cstheme="minorBidi"/>
      <w:kern w:val="0"/>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widowControl w:val="0"/>
      <w:spacing w:after="0" w:line="240" w:lineRule="auto"/>
    </w:pPr>
    <w:rPr>
      <w:rFonts w:ascii="Times New Roman" w:hAnsi="Times New Roman" w:eastAsia="宋体" w:cs="Times New Roman"/>
      <w:kern w:val="2"/>
      <w:szCs w:val="24"/>
    </w:rPr>
  </w:style>
  <w:style w:type="paragraph" w:styleId="3">
    <w:name w:val="Balloon Text"/>
    <w:basedOn w:val="1"/>
    <w:link w:val="13"/>
    <w:semiHidden/>
    <w:unhideWhenUsed/>
    <w:qFormat/>
    <w:uiPriority w:val="99"/>
    <w:pPr>
      <w:spacing w:after="0" w:line="240" w:lineRule="auto"/>
    </w:pPr>
    <w:rPr>
      <w:sz w:val="18"/>
      <w:szCs w:val="18"/>
    </w:rPr>
  </w:style>
  <w:style w:type="paragraph" w:styleId="4">
    <w:name w:val="footer"/>
    <w:basedOn w:val="1"/>
    <w:link w:val="16"/>
    <w:semiHidden/>
    <w:unhideWhenUsed/>
    <w:qFormat/>
    <w:uiPriority w:val="99"/>
    <w:pPr>
      <w:tabs>
        <w:tab w:val="center" w:pos="4153"/>
        <w:tab w:val="right" w:pos="8306"/>
      </w:tabs>
      <w:snapToGrid w:val="0"/>
      <w:spacing w:line="240" w:lineRule="auto"/>
    </w:pPr>
    <w:rPr>
      <w:sz w:val="18"/>
      <w:szCs w:val="18"/>
    </w:rPr>
  </w:style>
  <w:style w:type="paragraph" w:styleId="5">
    <w:name w:val="header"/>
    <w:basedOn w:val="1"/>
    <w:link w:val="15"/>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annotation subject"/>
    <w:basedOn w:val="2"/>
    <w:next w:val="2"/>
    <w:link w:val="14"/>
    <w:semiHidden/>
    <w:unhideWhenUsed/>
    <w:qFormat/>
    <w:uiPriority w:val="99"/>
    <w:pPr>
      <w:widowControl/>
      <w:spacing w:after="120" w:line="264" w:lineRule="auto"/>
    </w:pPr>
    <w:rPr>
      <w:rFonts w:asciiTheme="minorHAnsi" w:hAnsiTheme="minorHAnsi" w:eastAsiaTheme="minorEastAsia" w:cstheme="minorBidi"/>
      <w:b/>
      <w:bCs/>
      <w:kern w:val="0"/>
      <w:szCs w:val="21"/>
    </w:rPr>
  </w:style>
  <w:style w:type="table" w:styleId="8">
    <w:name w:val="Table Grid"/>
    <w:basedOn w:val="7"/>
    <w:qFormat/>
    <w:uiPriority w:val="39"/>
    <w:rPr>
      <w:kern w:val="0"/>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qFormat/>
    <w:uiPriority w:val="0"/>
    <w:rPr>
      <w:sz w:val="21"/>
      <w:szCs w:val="21"/>
    </w:rPr>
  </w:style>
  <w:style w:type="paragraph" w:styleId="11">
    <w:name w:val="List Paragraph"/>
    <w:basedOn w:val="1"/>
    <w:qFormat/>
    <w:uiPriority w:val="34"/>
    <w:pPr>
      <w:spacing w:after="0" w:line="240" w:lineRule="auto"/>
      <w:ind w:firstLine="420" w:firstLineChars="200"/>
    </w:pPr>
    <w:rPr>
      <w:rFonts w:ascii="宋体" w:hAnsi="宋体" w:eastAsia="宋体" w:cs="宋体"/>
      <w:sz w:val="24"/>
      <w:szCs w:val="24"/>
    </w:rPr>
  </w:style>
  <w:style w:type="character" w:customStyle="1" w:styleId="12">
    <w:name w:val="批注文字 字符"/>
    <w:basedOn w:val="9"/>
    <w:link w:val="2"/>
    <w:qFormat/>
    <w:uiPriority w:val="0"/>
    <w:rPr>
      <w:rFonts w:ascii="Times New Roman" w:hAnsi="Times New Roman" w:eastAsia="宋体" w:cs="Times New Roman"/>
      <w:szCs w:val="24"/>
    </w:rPr>
  </w:style>
  <w:style w:type="character" w:customStyle="1" w:styleId="13">
    <w:name w:val="批注框文本 字符"/>
    <w:basedOn w:val="9"/>
    <w:link w:val="3"/>
    <w:semiHidden/>
    <w:qFormat/>
    <w:uiPriority w:val="99"/>
    <w:rPr>
      <w:kern w:val="0"/>
      <w:sz w:val="18"/>
      <w:szCs w:val="18"/>
    </w:rPr>
  </w:style>
  <w:style w:type="character" w:customStyle="1" w:styleId="14">
    <w:name w:val="批注主题 字符"/>
    <w:basedOn w:val="12"/>
    <w:link w:val="6"/>
    <w:semiHidden/>
    <w:qFormat/>
    <w:uiPriority w:val="99"/>
    <w:rPr>
      <w:rFonts w:ascii="Times New Roman" w:hAnsi="Times New Roman" w:eastAsia="宋体" w:cs="Times New Roman"/>
      <w:b/>
      <w:bCs/>
      <w:kern w:val="0"/>
      <w:szCs w:val="21"/>
    </w:rPr>
  </w:style>
  <w:style w:type="character" w:customStyle="1" w:styleId="15">
    <w:name w:val="页眉 字符"/>
    <w:basedOn w:val="9"/>
    <w:link w:val="5"/>
    <w:semiHidden/>
    <w:qFormat/>
    <w:uiPriority w:val="99"/>
    <w:rPr>
      <w:kern w:val="0"/>
      <w:sz w:val="18"/>
      <w:szCs w:val="18"/>
    </w:rPr>
  </w:style>
  <w:style w:type="character" w:customStyle="1" w:styleId="16">
    <w:name w:val="页脚 字符"/>
    <w:basedOn w:val="9"/>
    <w:link w:val="4"/>
    <w:semiHidden/>
    <w:qFormat/>
    <w:uiPriority w:val="99"/>
    <w:rPr>
      <w:kern w:val="0"/>
      <w:sz w:val="18"/>
      <w:szCs w:val="18"/>
    </w:rPr>
  </w:style>
  <w:style w:type="character" w:styleId="17">
    <w:name w:val="Placeholder Text"/>
    <w:basedOn w:val="9"/>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1063</Words>
  <Characters>1166</Characters>
  <Lines>9</Lines>
  <Paragraphs>2</Paragraphs>
  <TotalTime>25</TotalTime>
  <ScaleCrop>false</ScaleCrop>
  <LinksUpToDate>false</LinksUpToDate>
  <CharactersWithSpaces>1169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2018-04-02T16:01:00Z</dcterms:created>
  <dc:creator>mindray</dc:creator>
  <cp:lastModifiedBy>至诚之力</cp:lastModifiedBy>
  <cp:lastPrinted>2024-12-30T02:55:44Z</cp:lastPrinted>
  <dcterms:modified xsi:type="dcterms:W3CDTF">2024-12-30T03:14:32Z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66ADAC72B6A54455989F00EBC1FD72BB_13</vt:lpwstr>
  </property>
  <property fmtid="{D5CDD505-2E9C-101B-9397-08002B2CF9AE}" pid="4" name="KSOTemplateDocerSaveRecord">
    <vt:lpwstr>eyJoZGlkIjoiYzY0YmExODRkNDA4NjA3MjVjNDBmMjYzZTc2ZWNjNjQiLCJ1c2VySWQiOiI3NDMyMTk4NDkifQ==</vt:lpwstr>
  </property>
</Properties>
</file>