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D6F0">
      <w:pPr>
        <w:pStyle w:val="2"/>
        <w:bidi w:val="0"/>
        <w:jc w:val="center"/>
      </w:pPr>
      <w:bookmarkStart w:id="0" w:name="_GoBack"/>
      <w:bookmarkEnd w:id="0"/>
      <w:r>
        <w:rPr>
          <w:rFonts w:hint="eastAsia"/>
        </w:rPr>
        <w:t>脉冲磁刺激仪</w:t>
      </w:r>
      <w:r>
        <w:rPr>
          <w:rFonts w:hint="eastAsia"/>
          <w:lang w:val="en-US" w:eastAsia="zh-CN"/>
        </w:rPr>
        <w:t>技术</w:t>
      </w:r>
      <w:r>
        <w:t>参数</w:t>
      </w:r>
    </w:p>
    <w:p w14:paraId="3173F79C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1. 合规与安全标准：整机符合YY/T 0994-2015《磁刺激设备》行业标准，通过电磁兼容性（EMC）测试；座椅、一体机电脑均独立通过EMC测试；上位机软件符合GB/T 25000.51软件工程质量要求，全面保障临床使用安全。  </w:t>
      </w:r>
    </w:p>
    <w:p w14:paraId="10AF86E3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2. 适用范围：可刺激人体中枢神经及外周神经，用于中枢/外周神经功能的检测、评定与改善，支持神经电生理检查，辅助治疗神经损伤性疾病、腰骶神经功能障碍、盆底相关功能障碍（如尿失禁、便秘等）。  </w:t>
      </w:r>
    </w:p>
    <w:p w14:paraId="16B241F7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3. 分体式结构设计：磁刺激主机、治疗座椅、液冷系统等核心组件采用分体式设计，便于日常维护；座椅纳入产品注册结构组成，支持盆底与骶神经刺激场景灵活切换。  </w:t>
      </w:r>
    </w:p>
    <w:p w14:paraId="4765D0C1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4. 线圈与刺激适配：配置铁芯线圈，兼容盆底刺激与骶神经刺激需求，线圈与主机采用插拔式连接，可手动更换，满足多部位治疗切换需求。  </w:t>
      </w:r>
    </w:p>
    <w:p w14:paraId="16FC793A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5. 智能操作体系：支持一键开机直达操作界面，无需多次按键；采用主副双屏设计，主屏为≥15寸触控屏（医护操作），副屏供患者观看，实现医患实时互动。  </w:t>
      </w:r>
    </w:p>
    <w:p w14:paraId="5ACFF92E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6. 强度调节方式：磁刺激强度支持电脑软件与主机物理旋钮双模式调节，治疗中无需暂停即可根据患者感受实时调整，操作灵活。  </w:t>
      </w:r>
    </w:p>
    <w:p w14:paraId="015EDA58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7. 体位自动切换功能：软件控制治疗座椅实现盆底与骶神经刺激模式一键自动翻转，联合治疗时无需患者手动调整体位，优化治疗流程。  </w:t>
      </w:r>
    </w:p>
    <w:p w14:paraId="0A609693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8. 散热系统配置：采用液冷散热设计，部分型号搭配智能液冷+冷媒冷却组合，可设置多级冷却模式，液晶屏实时监控温度、循环状态，满足日常连续工作散热需求。  </w:t>
      </w:r>
    </w:p>
    <w:p w14:paraId="7ED1DC43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9. 脉冲核心参数：输出脉冲重复频率0-100Hz可调（允差±3%），最小步长≤0.01Hz；脉冲上升时间50μs±10μs；脉冲持续时间340μs±20μs；磁感应强度最大变化率70-90kT/s。  </w:t>
      </w:r>
    </w:p>
    <w:p w14:paraId="03BDE937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10. 治疗模式多样性：支持标准模式、调频模式、调幅模式等脉冲输出模式，包含磁刺激、触发磁刺激、Kegel训练等主动及被动训练功能，适配不同治疗需求。  </w:t>
      </w:r>
    </w:p>
    <w:p w14:paraId="0AA66C69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11. 方案管理系统：内置多类临床方案库（覆盖压力性尿失禁、膀胱过度活动症、便秘、盆底痛等），可一键启动；支持方案自定义编辑（频率、刺激时间、间歇时间等参数可调）及多方案联合治疗。  </w:t>
      </w:r>
    </w:p>
    <w:p w14:paraId="7C931655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12. 安全监测机制：具备实时坐姿监测功能，错误体位时自动报警并指导纠正；刺激线圈温度达40℃时智能停止输出，保障治疗安全与疗效。  </w:t>
      </w:r>
    </w:p>
    <w:p w14:paraId="17CCF3F6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13. 设备兼容性：开放式设计平台，配置触发输入输出通用接口，可兼容肌电图等设备，支持多设备协同工作。  </w:t>
      </w:r>
    </w:p>
    <w:p w14:paraId="23D1EBCA">
      <w:pPr>
        <w:widowControl/>
        <w:jc w:val="left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14. 数据管理能力：海量存储患者基本信息、诊疗记录、治疗方案等数据，支持查询、编辑、多条件检索及工作量统计（图表展示）；部分型号可对接盆底信息管理系统。  </w:t>
      </w:r>
    </w:p>
    <w:p w14:paraId="60FBA9B4">
      <w:pPr>
        <w:rPr>
          <w:rFonts w:hint="eastAsia" w:ascii="方正仿宋_GB2312" w:hAnsi="方正仿宋_GB2312" w:eastAsia="方正仿宋_GB2312" w:cs="方正仿宋_GB2312"/>
          <w:sz w:val="20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>15. 系统扩展适配：开放数据端口，可与院内病历系统连接；支持与同品牌电刺激生物反馈设备数据共享（患者信息、诊疗记录等），实现一体化诊疗管理。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486C6A-C9E7-43B5-833D-98D8383639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7A6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E525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E525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85"/>
    <w:rsid w:val="0068486E"/>
    <w:rsid w:val="0079392F"/>
    <w:rsid w:val="00A46256"/>
    <w:rsid w:val="00A96B85"/>
    <w:rsid w:val="00C40FE6"/>
    <w:rsid w:val="00E56434"/>
    <w:rsid w:val="664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1044</Words>
  <Characters>1136</Characters>
  <Lines>8</Lines>
  <Paragraphs>2</Paragraphs>
  <TotalTime>5</TotalTime>
  <ScaleCrop>false</ScaleCrop>
  <LinksUpToDate>false</LinksUpToDate>
  <CharactersWithSpaces>1182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2025-08-13T02:33:00Z</dcterms:created>
  <dc:creator>设备采购</dc:creator>
  <cp:lastModifiedBy>至诚之力</cp:lastModifiedBy>
  <cp:lastPrinted>2025-08-13T06:44:46Z</cp:lastPrinted>
  <dcterms:modified xsi:type="dcterms:W3CDTF">2025-08-13T06:46:04Z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eyJoZGlkIjoiYzY0YmExODRkNDA4NjA3MjVjNDBmMjYzZTc2ZWNjNjQiLCJ1c2VySWQiOiI3NDMyMTk4NDkifQ==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2FDF908015C445BF8302DA7CFEF4BD5D_13</vt:lpwstr>
  </property>
</Properties>
</file>