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b/>
          <w:sz w:val="56"/>
          <w:szCs w:val="56"/>
        </w:rPr>
      </w:pPr>
      <w:bookmarkStart w:id="0" w:name="_Toc458262589"/>
    </w:p>
    <w:p w14:paraId="0DB4D657">
      <w:pPr>
        <w:pStyle w:val="2"/>
        <w:rPr>
          <w:rFonts w:hint="eastAsia"/>
        </w:rPr>
      </w:pPr>
    </w:p>
    <w:p w14:paraId="09393AFD">
      <w:pPr>
        <w:spacing w:before="100" w:after="100" w:line="360" w:lineRule="auto"/>
        <w:jc w:val="center"/>
        <w:rPr>
          <w:rFonts w:hint="default" w:ascii="宋体" w:hAnsi="宋体" w:eastAsia="宋体"/>
          <w:b/>
          <w:sz w:val="56"/>
          <w:szCs w:val="56"/>
          <w:lang w:val="en-US" w:eastAsia="zh-CN"/>
        </w:rPr>
      </w:pPr>
      <w:r>
        <w:rPr>
          <w:rFonts w:hint="eastAsia" w:ascii="宋体" w:hAnsi="宋体" w:eastAsia="宋体"/>
          <w:b/>
          <w:sz w:val="56"/>
          <w:szCs w:val="56"/>
        </w:rPr>
        <w:t>开平市中心医院</w:t>
      </w:r>
      <w:r>
        <w:rPr>
          <w:rFonts w:hint="eastAsia" w:ascii="宋体" w:hAnsi="宋体" w:eastAsia="宋体"/>
          <w:b/>
          <w:sz w:val="56"/>
          <w:szCs w:val="56"/>
          <w:lang w:val="en-US" w:eastAsia="zh-CN"/>
        </w:rPr>
        <w:t>病案密集架</w:t>
      </w:r>
    </w:p>
    <w:p w14:paraId="1BC3878A">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采购项目</w:t>
      </w:r>
    </w:p>
    <w:p w14:paraId="08C8ADDF">
      <w:pPr>
        <w:pStyle w:val="2"/>
      </w:pPr>
    </w:p>
    <w:p w14:paraId="3E41906E">
      <w:pPr>
        <w:spacing w:line="360" w:lineRule="auto"/>
        <w:jc w:val="center"/>
        <w:outlineLvl w:val="0"/>
        <w:rPr>
          <w:rFonts w:hint="eastAsia" w:ascii="宋体" w:hAnsi="宋体" w:eastAsia="宋体"/>
          <w:b/>
          <w:sz w:val="52"/>
          <w:szCs w:val="52"/>
          <w:lang w:val="en-US" w:eastAsia="zh-CN"/>
        </w:rPr>
      </w:pPr>
    </w:p>
    <w:p w14:paraId="3C86C943">
      <w:pPr>
        <w:spacing w:line="360" w:lineRule="auto"/>
        <w:jc w:val="both"/>
        <w:outlineLvl w:val="0"/>
        <w:rPr>
          <w:rFonts w:hint="eastAsia" w:ascii="宋体" w:hAnsi="宋体" w:eastAsia="宋体"/>
          <w:b/>
          <w:sz w:val="52"/>
          <w:szCs w:val="52"/>
          <w:lang w:val="en-US" w:eastAsia="zh-CN"/>
        </w:rPr>
      </w:pPr>
    </w:p>
    <w:p w14:paraId="29CAF9CF">
      <w:pPr>
        <w:spacing w:line="360" w:lineRule="auto"/>
        <w:jc w:val="center"/>
        <w:outlineLvl w:val="0"/>
        <w:rPr>
          <w:rFonts w:hint="eastAsia" w:ascii="宋体" w:hAnsi="宋体" w:eastAsia="宋体"/>
          <w:b/>
          <w:sz w:val="52"/>
          <w:szCs w:val="52"/>
          <w:lang w:val="en-US" w:eastAsia="zh-CN"/>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九月</w:t>
      </w:r>
    </w:p>
    <w:p w14:paraId="5A8714DD">
      <w:pPr>
        <w:pStyle w:val="30"/>
        <w:spacing w:line="360" w:lineRule="auto"/>
        <w:ind w:left="300" w:right="300"/>
        <w:jc w:val="center"/>
        <w:outlineLvl w:val="0"/>
        <w:rPr>
          <w:rFonts w:ascii="宋体"/>
          <w:b/>
          <w:szCs w:val="28"/>
        </w:rPr>
      </w:pPr>
    </w:p>
    <w:p w14:paraId="01C83A05">
      <w:pPr>
        <w:pStyle w:val="30"/>
        <w:spacing w:line="360" w:lineRule="auto"/>
        <w:ind w:left="300" w:right="300"/>
        <w:jc w:val="center"/>
        <w:outlineLvl w:val="0"/>
        <w:rPr>
          <w:rFonts w:ascii="宋体"/>
          <w:sz w:val="30"/>
          <w:szCs w:val="30"/>
        </w:rPr>
      </w:pPr>
      <w:r>
        <w:rPr>
          <w:rFonts w:ascii="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cs="宋体"/>
          <w:sz w:val="28"/>
          <w:szCs w:val="28"/>
          <w:lang w:val="en-US" w:eastAsia="zh-CN"/>
        </w:rPr>
        <w:t>0</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cs="宋体"/>
          <w:sz w:val="28"/>
          <w:szCs w:val="28"/>
          <w:lang w:val="en-US" w:eastAsia="zh-CN"/>
        </w:rPr>
        <w:t>2</w:t>
      </w:r>
    </w:p>
    <w:p w14:paraId="5015A6E6">
      <w:pPr>
        <w:pStyle w:val="30"/>
        <w:tabs>
          <w:tab w:val="right" w:leader="dot" w:pos="7938"/>
          <w:tab w:val="clear" w:pos="8505"/>
        </w:tabs>
        <w:spacing w:line="360" w:lineRule="auto"/>
        <w:ind w:right="393" w:rightChars="13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6352965"/>
      <w:bookmarkStart w:id="3" w:name="_Toc52021495"/>
      <w:bookmarkStart w:id="4" w:name="_Toc51756448"/>
      <w:bookmarkStart w:id="5" w:name="_Toc51939413"/>
      <w:bookmarkStart w:id="6" w:name="_Toc52027882"/>
      <w:bookmarkStart w:id="7" w:name="_Toc486671525"/>
      <w:bookmarkStart w:id="8" w:name="_Toc467236720"/>
      <w:bookmarkStart w:id="9" w:name="_Toc476976153"/>
      <w:r>
        <w:br w:type="page"/>
      </w:r>
    </w:p>
    <w:p w14:paraId="41452421">
      <w:pPr>
        <w:pStyle w:val="3"/>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453FD9F5">
      <w:pPr>
        <w:pStyle w:val="6"/>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Cs/>
          <w:sz w:val="24"/>
        </w:rPr>
      </w:pPr>
      <w:bookmarkStart w:id="11" w:name="_Toc51756450"/>
      <w:bookmarkStart w:id="12" w:name="_Toc467236722"/>
      <w:bookmarkStart w:id="13" w:name="_Toc52021497"/>
      <w:bookmarkStart w:id="14" w:name="_Toc476976154"/>
      <w:bookmarkStart w:id="15" w:name="_Toc486671526"/>
      <w:bookmarkStart w:id="16" w:name="_Toc56352967"/>
      <w:bookmarkStart w:id="17" w:name="_Toc52027884"/>
      <w:bookmarkStart w:id="18" w:name="_Toc458262591"/>
      <w:bookmarkStart w:id="19" w:name="_Toc51939415"/>
      <w:r>
        <w:rPr>
          <w:rFonts w:hint="eastAsia" w:ascii="宋体" w:hAnsi="宋体" w:eastAsia="宋体" w:cs="宋体"/>
          <w:bCs/>
          <w:sz w:val="24"/>
        </w:rPr>
        <w:t>本项目为</w:t>
      </w:r>
      <w:r>
        <w:rPr>
          <w:rFonts w:hint="eastAsia" w:hAnsi="宋体" w:cs="宋体"/>
          <w:bCs/>
          <w:sz w:val="24"/>
          <w:lang w:eastAsia="zh-CN"/>
        </w:rPr>
        <w:t>开平市中心医院病案密集架采购项目</w:t>
      </w:r>
      <w:r>
        <w:rPr>
          <w:rFonts w:hint="eastAsia" w:ascii="宋体" w:hAnsi="宋体" w:eastAsia="宋体" w:cs="宋体"/>
          <w:bCs/>
          <w:sz w:val="24"/>
        </w:rPr>
        <w:t>，</w:t>
      </w:r>
      <w:bookmarkStart w:id="20" w:name="_Toc367082515"/>
      <w:bookmarkStart w:id="21" w:name="_Toc294013653"/>
      <w:bookmarkStart w:id="22" w:name="_Toc202872942"/>
      <w:bookmarkStart w:id="23" w:name="_Toc315688531"/>
      <w:r>
        <w:rPr>
          <w:rFonts w:hint="eastAsia" w:ascii="宋体" w:hAnsi="宋体" w:eastAsia="宋体" w:cs="宋体"/>
          <w:bCs/>
          <w:sz w:val="24"/>
        </w:rPr>
        <w:t>相关事宜公告如下：</w:t>
      </w:r>
    </w:p>
    <w:p w14:paraId="6EB6AA90">
      <w:pPr>
        <w:pStyle w:val="6"/>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20"/>
      <w:bookmarkEnd w:id="21"/>
      <w:bookmarkEnd w:id="22"/>
      <w:bookmarkEnd w:id="23"/>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315688532"/>
      <w:bookmarkStart w:id="25" w:name="_Toc294013654"/>
      <w:bookmarkStart w:id="26" w:name="_Toc202872943"/>
      <w:bookmarkStart w:id="27" w:name="_Toc367082516"/>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开平市中心医院病案密集架采购项目</w:t>
      </w:r>
    </w:p>
    <w:p w14:paraId="4BDE9EFC">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295397</w:t>
      </w:r>
      <w:r>
        <w:rPr>
          <w:rFonts w:hint="eastAsia" w:ascii="宋体" w:hAnsi="宋体" w:eastAsia="宋体" w:cs="宋体"/>
          <w:bCs/>
          <w:sz w:val="24"/>
          <w:szCs w:val="24"/>
        </w:rPr>
        <w:t>元</w:t>
      </w:r>
    </w:p>
    <w:p w14:paraId="137D7C68">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1.3质量目标：符合国家及行业现行有关规范和标准</w:t>
      </w:r>
    </w:p>
    <w:p w14:paraId="7D8C77DD">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r>
        <w:rPr>
          <w:rFonts w:hint="eastAsia" w:ascii="宋体" w:hAnsi="宋体" w:eastAsia="宋体" w:cs="宋体"/>
          <w:bCs/>
          <w:sz w:val="24"/>
          <w:szCs w:val="24"/>
        </w:rPr>
        <w:t>1.4遴选内容：产品技术参数和数量要求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6335"/>
        <w:gridCol w:w="1068"/>
        <w:gridCol w:w="616"/>
        <w:gridCol w:w="617"/>
      </w:tblGrid>
      <w:tr w14:paraId="7D14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0967F167">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bookmarkStart w:id="28" w:name="OLE_LINK2"/>
            <w:bookmarkStart w:id="29" w:name="OLE_LINK1"/>
            <w:r>
              <w:rPr>
                <w:rFonts w:hint="eastAsia" w:ascii="宋体" w:hAnsi="宋体" w:eastAsia="宋体" w:cs="宋体"/>
                <w:sz w:val="24"/>
                <w:szCs w:val="24"/>
              </w:rPr>
              <w:t>名称</w:t>
            </w:r>
          </w:p>
        </w:tc>
        <w:tc>
          <w:tcPr>
            <w:tcW w:w="6335" w:type="dxa"/>
            <w:vAlign w:val="center"/>
          </w:tcPr>
          <w:p w14:paraId="43F3D232">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参数</w:t>
            </w:r>
          </w:p>
        </w:tc>
        <w:tc>
          <w:tcPr>
            <w:tcW w:w="1068" w:type="dxa"/>
            <w:vAlign w:val="center"/>
          </w:tcPr>
          <w:p w14:paraId="570586E8">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c>
          <w:tcPr>
            <w:tcW w:w="616" w:type="dxa"/>
            <w:vAlign w:val="center"/>
          </w:tcPr>
          <w:p w14:paraId="08F712FE">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617" w:type="dxa"/>
            <w:vAlign w:val="center"/>
          </w:tcPr>
          <w:p w14:paraId="2CD22257">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r>
      <w:tr w14:paraId="0E2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1" w:type="dxa"/>
            <w:vMerge w:val="restart"/>
            <w:vAlign w:val="center"/>
          </w:tcPr>
          <w:p w14:paraId="19702760">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密集架</w:t>
            </w:r>
          </w:p>
        </w:tc>
        <w:tc>
          <w:tcPr>
            <w:tcW w:w="6335" w:type="dxa"/>
          </w:tcPr>
          <w:p w14:paraId="78C697AF">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w:t>
            </w:r>
            <w:r>
              <w:rPr>
                <w:rFonts w:hint="eastAsia" w:ascii="宋体" w:hAnsi="宋体" w:eastAsia="宋体" w:cs="宋体"/>
                <w:sz w:val="24"/>
                <w:szCs w:val="24"/>
              </w:rPr>
              <w:t>产品主要由轨道、底盘、立柱、搁板、挂板、侧板、顶板、防倾倒</w:t>
            </w:r>
            <w:r>
              <w:rPr>
                <w:rFonts w:hint="eastAsia" w:ascii="宋体" w:hAnsi="宋体" w:eastAsia="宋体" w:cs="宋体"/>
                <w:sz w:val="24"/>
                <w:szCs w:val="24"/>
                <w:lang w:eastAsia="zh-CN"/>
              </w:rPr>
              <w:t>装置组成</w:t>
            </w:r>
            <w:r>
              <w:rPr>
                <w:rFonts w:hint="eastAsia" w:ascii="宋体" w:hAnsi="宋体" w:eastAsia="宋体" w:cs="宋体"/>
                <w:spacing w:val="-3"/>
                <w:sz w:val="24"/>
                <w:szCs w:val="24"/>
                <w:lang w:eastAsia="zh-CN"/>
              </w:rPr>
              <w:t>。</w:t>
            </w:r>
          </w:p>
        </w:tc>
        <w:tc>
          <w:tcPr>
            <w:tcW w:w="1068" w:type="dxa"/>
            <w:vMerge w:val="restart"/>
            <w:vAlign w:val="center"/>
          </w:tcPr>
          <w:p w14:paraId="72235E33">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295397</w:t>
            </w:r>
          </w:p>
        </w:tc>
        <w:tc>
          <w:tcPr>
            <w:tcW w:w="616" w:type="dxa"/>
            <w:vMerge w:val="restart"/>
            <w:vAlign w:val="center"/>
          </w:tcPr>
          <w:p w14:paraId="4056487F">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批</w:t>
            </w:r>
          </w:p>
        </w:tc>
        <w:tc>
          <w:tcPr>
            <w:tcW w:w="617" w:type="dxa"/>
            <w:vMerge w:val="restart"/>
            <w:vAlign w:val="center"/>
          </w:tcPr>
          <w:p w14:paraId="1BBD0653">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14:paraId="3C32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541BE4C2">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06B75FD0">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z w:val="24"/>
                <w:szCs w:val="24"/>
              </w:rPr>
              <w:t>★</w:t>
            </w:r>
            <w:r>
              <w:rPr>
                <w:rFonts w:hint="eastAsia" w:ascii="宋体" w:hAnsi="宋体" w:eastAsia="宋体" w:cs="宋体"/>
                <w:spacing w:val="-1"/>
                <w:sz w:val="24"/>
                <w:szCs w:val="24"/>
                <w:lang w:eastAsia="zh-CN"/>
              </w:rPr>
              <w:t>2、架体尺寸：A区五层11列，列节尺寸：宽度4800mm，深度：750mm，高度：1600mm</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B区五层1列，列节尺寸：宽度6300mm，深度：350mm，高度：1600mm；B区五层7列，列节尺寸：宽度6300mm，深度：750mm，高度：1600mm，C区五层1列，列节尺寸：宽度6300mm，深度：350mm，高度：1600mm；C区五层12列，列节尺寸：宽度6300mm，深度：750mm，高度：1600mm。</w:t>
            </w:r>
          </w:p>
        </w:tc>
        <w:tc>
          <w:tcPr>
            <w:tcW w:w="1068" w:type="dxa"/>
            <w:vMerge w:val="continue"/>
            <w:vAlign w:val="center"/>
          </w:tcPr>
          <w:p w14:paraId="550FA29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595D005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64AAC9C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2B75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4CBD69CE">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0917BA01">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w:t>
            </w:r>
            <w:r>
              <w:rPr>
                <w:rFonts w:hint="eastAsia" w:ascii="宋体" w:hAnsi="宋体" w:eastAsia="宋体" w:cs="宋体"/>
                <w:sz w:val="24"/>
                <w:szCs w:val="24"/>
              </w:rPr>
              <w:t>轨道：采用</w:t>
            </w:r>
            <w:r>
              <w:rPr>
                <w:rFonts w:hint="eastAsia" w:ascii="宋体" w:hAnsi="宋体" w:eastAsia="宋体" w:cs="宋体"/>
                <w:sz w:val="24"/>
                <w:szCs w:val="24"/>
                <w:lang w:eastAsia="zh-CN"/>
              </w:rPr>
              <w:t>3.0mm优质304不锈钢，</w:t>
            </w:r>
            <w:r>
              <w:rPr>
                <w:rFonts w:hint="eastAsia" w:ascii="宋体" w:hAnsi="宋体" w:eastAsia="宋体" w:cs="宋体"/>
                <w:sz w:val="24"/>
                <w:szCs w:val="24"/>
              </w:rPr>
              <w:t>一次折弯成型</w:t>
            </w:r>
            <w:r>
              <w:rPr>
                <w:rFonts w:hint="eastAsia" w:ascii="宋体" w:hAnsi="宋体" w:eastAsia="宋体" w:cs="宋体"/>
                <w:sz w:val="24"/>
                <w:szCs w:val="24"/>
                <w:lang w:eastAsia="zh-CN"/>
              </w:rPr>
              <w:t>，</w:t>
            </w:r>
            <w:r>
              <w:rPr>
                <w:rFonts w:hint="eastAsia" w:ascii="宋体" w:hAnsi="宋体" w:eastAsia="宋体" w:cs="宋体"/>
                <w:sz w:val="24"/>
                <w:szCs w:val="24"/>
              </w:rPr>
              <w:t>轨芯采用20*20mm实心方钢</w:t>
            </w:r>
            <w:r>
              <w:rPr>
                <w:rFonts w:hint="eastAsia" w:ascii="宋体" w:hAnsi="宋体" w:eastAsia="宋体" w:cs="宋体"/>
                <w:sz w:val="24"/>
                <w:szCs w:val="24"/>
                <w:lang w:eastAsia="zh-CN"/>
              </w:rPr>
              <w:t>（304不锈钢材质）。</w:t>
            </w:r>
          </w:p>
        </w:tc>
        <w:tc>
          <w:tcPr>
            <w:tcW w:w="1068" w:type="dxa"/>
            <w:vMerge w:val="continue"/>
            <w:vAlign w:val="center"/>
          </w:tcPr>
          <w:p w14:paraId="78300EC0">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5BAB042F">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793EE48E">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285A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121" w:type="dxa"/>
            <w:vMerge w:val="continue"/>
            <w:vAlign w:val="center"/>
          </w:tcPr>
          <w:p w14:paraId="3E809506">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2C416FF5">
            <w:pPr>
              <w:pStyle w:val="226"/>
              <w:keepNext w:val="0"/>
              <w:keepLines w:val="0"/>
              <w:pageBreakBefore w:val="0"/>
              <w:kinsoku/>
              <w:wordWrap/>
              <w:overflowPunct/>
              <w:topLinePunct w:val="0"/>
              <w:bidi w:val="0"/>
              <w:adjustRightInd/>
              <w:snapToGrid/>
              <w:spacing w:line="520" w:lineRule="exact"/>
              <w:ind w:left="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spacing w:val="-3"/>
                <w:sz w:val="24"/>
                <w:szCs w:val="24"/>
              </w:rPr>
              <w:t>▲4</w:t>
            </w:r>
            <w:r>
              <w:rPr>
                <w:rFonts w:hint="eastAsia" w:ascii="宋体" w:hAnsi="宋体" w:eastAsia="宋体" w:cs="宋体"/>
                <w:spacing w:val="-1"/>
                <w:sz w:val="24"/>
                <w:szCs w:val="24"/>
              </w:rPr>
              <w:t>、</w:t>
            </w:r>
            <w:r>
              <w:rPr>
                <w:rFonts w:hint="eastAsia" w:ascii="宋体" w:hAnsi="宋体" w:eastAsia="宋体" w:cs="宋体"/>
                <w:spacing w:val="-3"/>
                <w:sz w:val="24"/>
                <w:szCs w:val="24"/>
              </w:rPr>
              <w:t>底架：</w:t>
            </w:r>
            <w:r>
              <w:rPr>
                <w:rFonts w:hint="eastAsia" w:ascii="宋体" w:hAnsi="宋体" w:eastAsia="宋体" w:cs="宋体"/>
                <w:color w:val="000000"/>
                <w:sz w:val="24"/>
                <w:szCs w:val="24"/>
              </w:rPr>
              <w:t>采用</w:t>
            </w:r>
            <w:r>
              <w:rPr>
                <w:rFonts w:hint="eastAsia" w:ascii="宋体" w:hAnsi="宋体" w:eastAsia="宋体" w:cs="宋体"/>
                <w:sz w:val="24"/>
                <w:szCs w:val="24"/>
              </w:rPr>
              <w:t>3.0m</w:t>
            </w:r>
            <w:r>
              <w:rPr>
                <w:rFonts w:hint="eastAsia" w:ascii="宋体" w:hAnsi="宋体" w:eastAsia="宋体" w:cs="宋体"/>
                <w:color w:val="000000"/>
                <w:sz w:val="24"/>
                <w:szCs w:val="24"/>
              </w:rPr>
              <w:t>热轧钢板</w:t>
            </w:r>
            <w:r>
              <w:rPr>
                <w:rFonts w:hint="eastAsia" w:ascii="宋体" w:hAnsi="宋体" w:eastAsia="宋体" w:cs="宋体"/>
                <w:sz w:val="24"/>
                <w:szCs w:val="24"/>
              </w:rPr>
              <w:t>，</w:t>
            </w:r>
            <w:r>
              <w:rPr>
                <w:rFonts w:hint="eastAsia" w:ascii="宋体" w:hAnsi="宋体" w:eastAsia="宋体" w:cs="宋体"/>
                <w:color w:val="000000"/>
                <w:sz w:val="24"/>
                <w:szCs w:val="24"/>
              </w:rPr>
              <w:t>折弯成型</w:t>
            </w:r>
            <w:r>
              <w:rPr>
                <w:rFonts w:hint="eastAsia" w:ascii="宋体" w:hAnsi="宋体" w:eastAsia="宋体" w:cs="宋体"/>
                <w:sz w:val="24"/>
                <w:szCs w:val="24"/>
              </w:rPr>
              <w:t>，并采用双折弯工艺加强，</w:t>
            </w:r>
            <w:r>
              <w:rPr>
                <w:rFonts w:hint="eastAsia" w:ascii="宋体" w:hAnsi="宋体" w:eastAsia="宋体" w:cs="宋体"/>
                <w:color w:val="000000"/>
                <w:sz w:val="24"/>
                <w:szCs w:val="24"/>
              </w:rPr>
              <w:t>上面弯边</w:t>
            </w:r>
            <w:r>
              <w:rPr>
                <w:rFonts w:hint="eastAsia" w:ascii="宋体" w:hAnsi="宋体" w:eastAsia="宋体" w:cs="宋体"/>
                <w:sz w:val="24"/>
                <w:szCs w:val="24"/>
              </w:rPr>
              <w:t>大于</w:t>
            </w:r>
            <w:r>
              <w:rPr>
                <w:rFonts w:hint="eastAsia" w:ascii="宋体" w:hAnsi="宋体" w:eastAsia="宋体" w:cs="宋体"/>
                <w:color w:val="000000"/>
                <w:sz w:val="24"/>
                <w:szCs w:val="24"/>
              </w:rPr>
              <w:t>50mm</w:t>
            </w:r>
            <w:r>
              <w:rPr>
                <w:rFonts w:hint="eastAsia" w:ascii="宋体" w:hAnsi="宋体" w:eastAsia="宋体" w:cs="宋体"/>
                <w:sz w:val="24"/>
                <w:szCs w:val="24"/>
              </w:rPr>
              <w:t>，</w:t>
            </w:r>
            <w:r>
              <w:rPr>
                <w:rFonts w:hint="eastAsia" w:ascii="宋体" w:hAnsi="宋体" w:eastAsia="宋体" w:cs="宋体"/>
                <w:color w:val="000000"/>
                <w:sz w:val="24"/>
                <w:szCs w:val="24"/>
              </w:rPr>
              <w:t>架体长期载重存放资料不易变形，底盘与立柱连接采用φ10×20（mm）螺栓，底盘装配后的直线偏差≤0.5mm/m，全长偏差≤</w:t>
            </w:r>
            <w:r>
              <w:rPr>
                <w:rFonts w:hint="eastAsia" w:ascii="宋体" w:hAnsi="宋体" w:eastAsia="宋体" w:cs="宋体"/>
                <w:sz w:val="24"/>
                <w:szCs w:val="24"/>
              </w:rPr>
              <w:t>2</w:t>
            </w:r>
            <w:r>
              <w:rPr>
                <w:rFonts w:hint="eastAsia" w:ascii="宋体" w:hAnsi="宋体" w:eastAsia="宋体" w:cs="宋体"/>
                <w:color w:val="000000"/>
                <w:sz w:val="24"/>
                <w:szCs w:val="24"/>
              </w:rPr>
              <w:t>mm。轴承梁采用3.0mm热轧钢板。四道弯边加强，成型高度、正面厚度≥4 5 ,</w:t>
            </w:r>
            <w:r>
              <w:rPr>
                <w:rFonts w:hint="eastAsia" w:ascii="宋体" w:hAnsi="宋体" w:eastAsia="宋体" w:cs="宋体"/>
                <w:sz w:val="24"/>
                <w:szCs w:val="24"/>
              </w:rPr>
              <w:t xml:space="preserve"> </w:t>
            </w:r>
            <w:r>
              <w:rPr>
                <w:rFonts w:hint="eastAsia" w:ascii="宋体" w:hAnsi="宋体" w:eastAsia="宋体" w:cs="宋体"/>
                <w:color w:val="000000"/>
                <w:sz w:val="24"/>
                <w:szCs w:val="24"/>
              </w:rPr>
              <w:t>增强轴承梁整体强度，增强底梁整体抗扭强度和抗变形能力。</w:t>
            </w:r>
          </w:p>
          <w:p w14:paraId="6C1EEAEE">
            <w:pPr>
              <w:pStyle w:val="226"/>
              <w:keepNext w:val="0"/>
              <w:keepLines w:val="0"/>
              <w:pageBreakBefore w:val="0"/>
              <w:kinsoku/>
              <w:wordWrap/>
              <w:overflowPunct/>
              <w:topLinePunct w:val="0"/>
              <w:bidi w:val="0"/>
              <w:adjustRightInd/>
              <w:snapToGrid/>
              <w:spacing w:line="520" w:lineRule="exact"/>
              <w:ind w:left="0" w:righ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表面涂层理化性能要求：①硬度：≥3H；②冲击高度 500mm，应皱无剥落、裂纹、皱纹；③附着力0级；④耐腐蚀10级。</w:t>
            </w:r>
          </w:p>
        </w:tc>
        <w:tc>
          <w:tcPr>
            <w:tcW w:w="1068" w:type="dxa"/>
            <w:vMerge w:val="continue"/>
            <w:vAlign w:val="center"/>
          </w:tcPr>
          <w:p w14:paraId="4EBB3B6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7555E3F2">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2B8B754A">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271C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7417A333">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20655971">
            <w:pPr>
              <w:pStyle w:val="226"/>
              <w:keepNext w:val="0"/>
              <w:keepLines w:val="0"/>
              <w:pageBreakBefore w:val="0"/>
              <w:kinsoku/>
              <w:wordWrap/>
              <w:overflowPunct/>
              <w:topLinePunct w:val="0"/>
              <w:bidi w:val="0"/>
              <w:adjustRightInd/>
              <w:snapToGrid/>
              <w:spacing w:line="520" w:lineRule="exact"/>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▲5</w:t>
            </w:r>
            <w:r>
              <w:rPr>
                <w:rFonts w:hint="eastAsia" w:ascii="宋体" w:hAnsi="宋体" w:eastAsia="宋体" w:cs="宋体"/>
                <w:spacing w:val="-1"/>
                <w:sz w:val="24"/>
                <w:szCs w:val="24"/>
              </w:rPr>
              <w:t>、立柱采用1.5mm优质冷轧钢板一体成型工艺，立柱成型尺寸50x50mm，正面压制梯形凹槽，梯形凹槽底部尺寸≥23mm，上面尺寸≥3 0mm ,深度≥1.5mm，</w:t>
            </w:r>
            <w:r>
              <w:rPr>
                <w:rFonts w:hint="eastAsia" w:ascii="宋体" w:hAnsi="宋体" w:eastAsia="宋体" w:cs="宋体"/>
                <w:color w:val="000000"/>
                <w:sz w:val="24"/>
                <w:szCs w:val="24"/>
              </w:rPr>
              <w:t>凹槽底面为平面，增强立柱承重能力</w:t>
            </w:r>
            <w:r>
              <w:rPr>
                <w:rFonts w:hint="eastAsia" w:ascii="宋体" w:hAnsi="宋体" w:eastAsia="宋体" w:cs="宋体"/>
                <w:sz w:val="24"/>
                <w:szCs w:val="24"/>
              </w:rPr>
              <w:t>。</w:t>
            </w:r>
          </w:p>
          <w:p w14:paraId="2A7DD42E">
            <w:pPr>
              <w:pStyle w:val="226"/>
              <w:keepNext w:val="0"/>
              <w:keepLines w:val="0"/>
              <w:pageBreakBefore w:val="0"/>
              <w:kinsoku/>
              <w:wordWrap/>
              <w:overflowPunct/>
              <w:topLinePunct w:val="0"/>
              <w:bidi w:val="0"/>
              <w:adjustRightInd/>
              <w:snapToGrid/>
              <w:spacing w:line="520" w:lineRule="exact"/>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表面涂层理化性能要求：①硬度：≥3H；②冲击高度 500mm，应皱无剥落、裂纹、皱纹；③附着力0级；④耐腐蚀10级。</w:t>
            </w:r>
          </w:p>
        </w:tc>
        <w:tc>
          <w:tcPr>
            <w:tcW w:w="1068" w:type="dxa"/>
            <w:vMerge w:val="continue"/>
            <w:vAlign w:val="center"/>
          </w:tcPr>
          <w:p w14:paraId="08E15B94">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6D0290F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27962A82">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1535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21" w:type="dxa"/>
            <w:vMerge w:val="continue"/>
            <w:vAlign w:val="center"/>
          </w:tcPr>
          <w:p w14:paraId="57F98384">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0331F0BC">
            <w:pPr>
              <w:pStyle w:val="226"/>
              <w:keepNext w:val="0"/>
              <w:keepLines w:val="0"/>
              <w:pageBreakBefore w:val="0"/>
              <w:kinsoku/>
              <w:wordWrap/>
              <w:overflowPunct/>
              <w:topLinePunct w:val="0"/>
              <w:bidi w:val="0"/>
              <w:adjustRightInd/>
              <w:snapToGrid/>
              <w:spacing w:line="520" w:lineRule="exact"/>
              <w:ind w:left="0" w:right="0" w:firstLine="0" w:firstLineChars="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w:t>
            </w:r>
            <w:r>
              <w:rPr>
                <w:rFonts w:hint="eastAsia" w:ascii="宋体" w:hAnsi="宋体" w:eastAsia="宋体" w:cs="宋体"/>
                <w:spacing w:val="-1"/>
                <w:sz w:val="24"/>
                <w:szCs w:val="24"/>
              </w:rPr>
              <w:t>6、</w:t>
            </w:r>
            <w:r>
              <w:rPr>
                <w:rFonts w:hint="eastAsia" w:ascii="宋体" w:hAnsi="宋体" w:eastAsia="宋体" w:cs="宋体"/>
                <w:sz w:val="24"/>
                <w:szCs w:val="24"/>
              </w:rPr>
              <w:t>搁板采用1.0mm冷轧钢板，采用多折弯边一体成型工艺，搁板正面压制两条梯形凹槽，凹槽底部宽度12±2mm，上部宽度18±2mm，两侧面压制平面凹型槽，凹槽宽度13±2mm，</w:t>
            </w:r>
            <w:r>
              <w:rPr>
                <w:rFonts w:hint="eastAsia" w:ascii="宋体" w:hAnsi="宋体" w:eastAsia="宋体" w:cs="宋体"/>
                <w:color w:val="000000"/>
                <w:sz w:val="24"/>
                <w:szCs w:val="24"/>
              </w:rPr>
              <w:t>增加承载能力。在每层搁板上加载80kg均布静载荷，经24h连续试验后检查挂板、搁板、立柱及其结合部位和架体无塑性变形和其他异常现象。</w:t>
            </w:r>
          </w:p>
          <w:p w14:paraId="5532FBAF">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p>
        </w:tc>
        <w:tc>
          <w:tcPr>
            <w:tcW w:w="1068" w:type="dxa"/>
            <w:vMerge w:val="continue"/>
            <w:vAlign w:val="center"/>
          </w:tcPr>
          <w:p w14:paraId="45F4D1E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39C5B83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418A67B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3463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0AE419F8">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674774B1">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7、挂板采用1.0mm冷轧钢板，一体冲压成型，两端四排八挂钩结构设计，孔上下位置设有四根圆筋，挂板与立柱之间连接方式采用八挂钩扣接。</w:t>
            </w:r>
          </w:p>
          <w:p w14:paraId="2180A969">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表面涂层理化性能要求：①硬度：≥</w:t>
            </w:r>
            <w:r>
              <w:rPr>
                <w:rFonts w:hint="eastAsia" w:ascii="宋体" w:hAnsi="宋体" w:eastAsia="宋体" w:cs="宋体"/>
                <w:sz w:val="24"/>
                <w:szCs w:val="24"/>
                <w:lang w:eastAsia="zh-CN"/>
              </w:rPr>
              <w:t>3</w:t>
            </w:r>
            <w:r>
              <w:rPr>
                <w:rFonts w:hint="eastAsia" w:ascii="宋体" w:hAnsi="宋体" w:eastAsia="宋体" w:cs="宋体"/>
                <w:sz w:val="24"/>
                <w:szCs w:val="24"/>
              </w:rPr>
              <w:t xml:space="preserve">H；②冲击高度 </w:t>
            </w:r>
            <w:r>
              <w:rPr>
                <w:rFonts w:hint="eastAsia" w:ascii="宋体" w:hAnsi="宋体" w:eastAsia="宋体" w:cs="宋体"/>
                <w:sz w:val="24"/>
                <w:szCs w:val="24"/>
                <w:lang w:eastAsia="zh-CN"/>
              </w:rPr>
              <w:t>500mm</w:t>
            </w:r>
            <w:r>
              <w:rPr>
                <w:rFonts w:hint="eastAsia" w:ascii="宋体" w:hAnsi="宋体" w:eastAsia="宋体" w:cs="宋体"/>
                <w:sz w:val="24"/>
                <w:szCs w:val="24"/>
              </w:rPr>
              <w:t>，应皱无剥落、裂纹、皱纹；③附着力</w:t>
            </w:r>
            <w:r>
              <w:rPr>
                <w:rFonts w:hint="eastAsia" w:ascii="宋体" w:hAnsi="宋体" w:eastAsia="宋体" w:cs="宋体"/>
                <w:sz w:val="24"/>
                <w:szCs w:val="24"/>
                <w:lang w:eastAsia="zh-CN"/>
              </w:rPr>
              <w:t>0</w:t>
            </w:r>
            <w:r>
              <w:rPr>
                <w:rFonts w:hint="eastAsia" w:ascii="宋体" w:hAnsi="宋体" w:eastAsia="宋体" w:cs="宋体"/>
                <w:sz w:val="24"/>
                <w:szCs w:val="24"/>
              </w:rPr>
              <w:t>级；④耐腐蚀</w:t>
            </w:r>
            <w:r>
              <w:rPr>
                <w:rFonts w:hint="eastAsia" w:ascii="宋体" w:hAnsi="宋体" w:eastAsia="宋体" w:cs="宋体"/>
                <w:sz w:val="24"/>
                <w:szCs w:val="24"/>
                <w:lang w:eastAsia="zh-CN"/>
              </w:rPr>
              <w:t>10级</w:t>
            </w:r>
            <w:r>
              <w:rPr>
                <w:rFonts w:hint="eastAsia" w:ascii="宋体" w:hAnsi="宋体" w:eastAsia="宋体" w:cs="宋体"/>
                <w:sz w:val="24"/>
                <w:szCs w:val="24"/>
              </w:rPr>
              <w:t>。</w:t>
            </w:r>
          </w:p>
        </w:tc>
        <w:tc>
          <w:tcPr>
            <w:tcW w:w="1068" w:type="dxa"/>
            <w:vMerge w:val="continue"/>
            <w:vAlign w:val="center"/>
          </w:tcPr>
          <w:p w14:paraId="4A6D0E70">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5585356E">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0046CFC9">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728C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262527EE">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646D3D31">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rPr>
            </w:pPr>
            <w:r>
              <w:rPr>
                <w:rFonts w:hint="eastAsia" w:ascii="宋体" w:hAnsi="宋体" w:eastAsia="宋体" w:cs="宋体"/>
                <w:spacing w:val="-2"/>
                <w:sz w:val="24"/>
                <w:szCs w:val="24"/>
                <w:lang w:eastAsia="zh-CN"/>
              </w:rPr>
              <w:t>8</w:t>
            </w:r>
            <w:r>
              <w:rPr>
                <w:rFonts w:hint="eastAsia" w:ascii="宋体" w:hAnsi="宋体" w:eastAsia="宋体" w:cs="宋体"/>
                <w:spacing w:val="-1"/>
                <w:sz w:val="24"/>
                <w:szCs w:val="24"/>
                <w:lang w:eastAsia="zh-CN"/>
              </w:rPr>
              <w:t>、挡棒采用1.0mm的优质冷轧钢板压制成槽型，成型尺寸为15mm＊15mm，四道弯边设计，三面压筋，顶面与侧面圆角过渡，圆角半径为R4，自锁式档条，依靠档条和挂板之间的机械组合达到锁紧功能。</w:t>
            </w:r>
          </w:p>
        </w:tc>
        <w:tc>
          <w:tcPr>
            <w:tcW w:w="1068" w:type="dxa"/>
            <w:vMerge w:val="continue"/>
            <w:vAlign w:val="center"/>
          </w:tcPr>
          <w:p w14:paraId="6930289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53B3DE7A">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000EDEC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6C4A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012903A4">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63204369">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9、侧板采用1.0mm冷轧钢板，分为上、中、下三节，整体设计新颖，造型美观。</w:t>
            </w:r>
          </w:p>
          <w:p w14:paraId="78B451B7">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表面涂层理化性能要求：①硬度：≥</w:t>
            </w:r>
            <w:r>
              <w:rPr>
                <w:rFonts w:hint="eastAsia" w:ascii="宋体" w:hAnsi="宋体" w:eastAsia="宋体" w:cs="宋体"/>
                <w:sz w:val="24"/>
                <w:szCs w:val="24"/>
                <w:lang w:eastAsia="zh-CN"/>
              </w:rPr>
              <w:t>3</w:t>
            </w:r>
            <w:r>
              <w:rPr>
                <w:rFonts w:hint="eastAsia" w:ascii="宋体" w:hAnsi="宋体" w:eastAsia="宋体" w:cs="宋体"/>
                <w:sz w:val="24"/>
                <w:szCs w:val="24"/>
              </w:rPr>
              <w:t xml:space="preserve">H；②冲击高度 </w:t>
            </w:r>
            <w:r>
              <w:rPr>
                <w:rFonts w:hint="eastAsia" w:ascii="宋体" w:hAnsi="宋体" w:eastAsia="宋体" w:cs="宋体"/>
                <w:sz w:val="24"/>
                <w:szCs w:val="24"/>
                <w:lang w:eastAsia="zh-CN"/>
              </w:rPr>
              <w:t>500mm</w:t>
            </w:r>
            <w:r>
              <w:rPr>
                <w:rFonts w:hint="eastAsia" w:ascii="宋体" w:hAnsi="宋体" w:eastAsia="宋体" w:cs="宋体"/>
                <w:sz w:val="24"/>
                <w:szCs w:val="24"/>
              </w:rPr>
              <w:t>，应皱无剥落、裂纹、皱纹；③附着力</w:t>
            </w:r>
            <w:r>
              <w:rPr>
                <w:rFonts w:hint="eastAsia" w:ascii="宋体" w:hAnsi="宋体" w:eastAsia="宋体" w:cs="宋体"/>
                <w:sz w:val="24"/>
                <w:szCs w:val="24"/>
                <w:lang w:eastAsia="zh-CN"/>
              </w:rPr>
              <w:t>0</w:t>
            </w:r>
            <w:r>
              <w:rPr>
                <w:rFonts w:hint="eastAsia" w:ascii="宋体" w:hAnsi="宋体" w:eastAsia="宋体" w:cs="宋体"/>
                <w:sz w:val="24"/>
                <w:szCs w:val="24"/>
              </w:rPr>
              <w:t>级；④耐腐蚀</w:t>
            </w:r>
            <w:r>
              <w:rPr>
                <w:rFonts w:hint="eastAsia" w:ascii="宋体" w:hAnsi="宋体" w:eastAsia="宋体" w:cs="宋体"/>
                <w:sz w:val="24"/>
                <w:szCs w:val="24"/>
                <w:lang w:eastAsia="zh-CN"/>
              </w:rPr>
              <w:t>10级</w:t>
            </w:r>
            <w:r>
              <w:rPr>
                <w:rFonts w:hint="eastAsia" w:ascii="宋体" w:hAnsi="宋体" w:eastAsia="宋体" w:cs="宋体"/>
                <w:sz w:val="24"/>
                <w:szCs w:val="24"/>
              </w:rPr>
              <w:t>。</w:t>
            </w:r>
          </w:p>
        </w:tc>
        <w:tc>
          <w:tcPr>
            <w:tcW w:w="1068" w:type="dxa"/>
            <w:vMerge w:val="continue"/>
            <w:vAlign w:val="center"/>
          </w:tcPr>
          <w:p w14:paraId="4EC4BBE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18306030">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39CF0EC3">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50E9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0C0AE0CF">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074668C1">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10、门板采用1.0mm冷轧钢板，采用正方形三级管理锁，外形尺寸为90mm＊90mm，安装完成后锁具表面与门板齐平。</w:t>
            </w:r>
          </w:p>
          <w:p w14:paraId="3A8C7792">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表面涂层理化性能要求：①硬度：≥</w:t>
            </w:r>
            <w:r>
              <w:rPr>
                <w:rFonts w:hint="eastAsia" w:ascii="宋体" w:hAnsi="宋体" w:eastAsia="宋体" w:cs="宋体"/>
                <w:sz w:val="24"/>
                <w:szCs w:val="24"/>
                <w:lang w:eastAsia="zh-CN"/>
              </w:rPr>
              <w:t>3</w:t>
            </w:r>
            <w:r>
              <w:rPr>
                <w:rFonts w:hint="eastAsia" w:ascii="宋体" w:hAnsi="宋体" w:eastAsia="宋体" w:cs="宋体"/>
                <w:sz w:val="24"/>
                <w:szCs w:val="24"/>
              </w:rPr>
              <w:t xml:space="preserve">H；②冲击高度 </w:t>
            </w:r>
            <w:r>
              <w:rPr>
                <w:rFonts w:hint="eastAsia" w:ascii="宋体" w:hAnsi="宋体" w:eastAsia="宋体" w:cs="宋体"/>
                <w:sz w:val="24"/>
                <w:szCs w:val="24"/>
                <w:lang w:eastAsia="zh-CN"/>
              </w:rPr>
              <w:t>500mm</w:t>
            </w:r>
            <w:r>
              <w:rPr>
                <w:rFonts w:hint="eastAsia" w:ascii="宋体" w:hAnsi="宋体" w:eastAsia="宋体" w:cs="宋体"/>
                <w:sz w:val="24"/>
                <w:szCs w:val="24"/>
              </w:rPr>
              <w:t>，应皱无剥落、裂纹、皱纹；③附着力</w:t>
            </w:r>
            <w:r>
              <w:rPr>
                <w:rFonts w:hint="eastAsia" w:ascii="宋体" w:hAnsi="宋体" w:eastAsia="宋体" w:cs="宋体"/>
                <w:sz w:val="24"/>
                <w:szCs w:val="24"/>
                <w:lang w:eastAsia="zh-CN"/>
              </w:rPr>
              <w:t>0</w:t>
            </w:r>
            <w:r>
              <w:rPr>
                <w:rFonts w:hint="eastAsia" w:ascii="宋体" w:hAnsi="宋体" w:eastAsia="宋体" w:cs="宋体"/>
                <w:sz w:val="24"/>
                <w:szCs w:val="24"/>
              </w:rPr>
              <w:t>级；④耐腐蚀</w:t>
            </w:r>
            <w:r>
              <w:rPr>
                <w:rFonts w:hint="eastAsia" w:ascii="宋体" w:hAnsi="宋体" w:eastAsia="宋体" w:cs="宋体"/>
                <w:sz w:val="24"/>
                <w:szCs w:val="24"/>
                <w:lang w:eastAsia="zh-CN"/>
              </w:rPr>
              <w:t>10级</w:t>
            </w:r>
            <w:r>
              <w:rPr>
                <w:rFonts w:hint="eastAsia" w:ascii="宋体" w:hAnsi="宋体" w:eastAsia="宋体" w:cs="宋体"/>
                <w:sz w:val="24"/>
                <w:szCs w:val="24"/>
              </w:rPr>
              <w:t>。</w:t>
            </w:r>
          </w:p>
        </w:tc>
        <w:tc>
          <w:tcPr>
            <w:tcW w:w="1068" w:type="dxa"/>
            <w:vMerge w:val="continue"/>
            <w:vAlign w:val="center"/>
          </w:tcPr>
          <w:p w14:paraId="33AAD28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7677C143">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4EB52ADF">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129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0E21ABC0">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vAlign w:val="center"/>
          </w:tcPr>
          <w:p w14:paraId="751809FF">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pacing w:val="-2"/>
                <w:sz w:val="24"/>
                <w:szCs w:val="24"/>
                <w:lang w:eastAsia="zh-CN"/>
              </w:rPr>
              <w:t>11</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具有</w:t>
            </w:r>
            <w:r>
              <w:rPr>
                <w:rFonts w:hint="eastAsia" w:ascii="宋体" w:hAnsi="宋体" w:eastAsia="宋体" w:cs="宋体"/>
                <w:sz w:val="24"/>
                <w:szCs w:val="24"/>
              </w:rPr>
              <w:t>防尘板、防鼠板</w:t>
            </w:r>
            <w:r>
              <w:rPr>
                <w:rFonts w:hint="eastAsia" w:ascii="宋体" w:hAnsi="宋体" w:eastAsia="宋体" w:cs="宋体"/>
                <w:sz w:val="24"/>
                <w:szCs w:val="24"/>
                <w:lang w:eastAsia="zh-CN"/>
              </w:rPr>
              <w:t>。</w:t>
            </w:r>
          </w:p>
        </w:tc>
        <w:tc>
          <w:tcPr>
            <w:tcW w:w="1068" w:type="dxa"/>
            <w:vMerge w:val="continue"/>
            <w:vAlign w:val="center"/>
          </w:tcPr>
          <w:p w14:paraId="529633E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16EB898B">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70666C77">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374F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121" w:type="dxa"/>
            <w:vMerge w:val="continue"/>
            <w:vAlign w:val="center"/>
          </w:tcPr>
          <w:p w14:paraId="517C1E1B">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vAlign w:val="center"/>
          </w:tcPr>
          <w:p w14:paraId="5ED43C30">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rPr>
            </w:pPr>
            <w:r>
              <w:rPr>
                <w:rFonts w:hint="eastAsia" w:ascii="宋体" w:hAnsi="宋体" w:eastAsia="宋体" w:cs="宋体"/>
                <w:spacing w:val="-1"/>
                <w:sz w:val="24"/>
                <w:szCs w:val="24"/>
                <w:lang w:eastAsia="zh-CN"/>
              </w:rPr>
              <w:t>12、传动</w:t>
            </w:r>
            <w:r>
              <w:rPr>
                <w:rFonts w:hint="eastAsia" w:ascii="宋体" w:hAnsi="宋体" w:eastAsia="宋体" w:cs="宋体"/>
                <w:sz w:val="24"/>
                <w:szCs w:val="24"/>
              </w:rPr>
              <w:t>摇手装置：采用常用摇手装置</w:t>
            </w:r>
            <w:r>
              <w:rPr>
                <w:rFonts w:hint="eastAsia" w:ascii="宋体" w:hAnsi="宋体" w:eastAsia="宋体" w:cs="宋体"/>
                <w:sz w:val="24"/>
                <w:szCs w:val="24"/>
                <w:lang w:eastAsia="zh-CN"/>
              </w:rPr>
              <w:t>，</w:t>
            </w:r>
            <w:r>
              <w:rPr>
                <w:rFonts w:hint="eastAsia" w:ascii="宋体" w:hAnsi="宋体" w:eastAsia="宋体" w:cs="宋体"/>
                <w:sz w:val="24"/>
                <w:szCs w:val="24"/>
              </w:rPr>
              <w:t>如：三叉式、圆盘式、7字型等</w:t>
            </w:r>
            <w:r>
              <w:rPr>
                <w:rFonts w:hint="eastAsia" w:ascii="宋体" w:hAnsi="宋体" w:eastAsia="宋体" w:cs="宋体"/>
                <w:sz w:val="24"/>
                <w:szCs w:val="24"/>
                <w:lang w:eastAsia="zh-CN"/>
              </w:rPr>
              <w:t>。</w:t>
            </w:r>
            <w:r>
              <w:rPr>
                <w:rFonts w:hint="eastAsia" w:ascii="宋体" w:hAnsi="宋体" w:eastAsia="宋体" w:cs="宋体"/>
                <w:sz w:val="24"/>
                <w:szCs w:val="24"/>
              </w:rPr>
              <w:t>摇把可</w:t>
            </w:r>
            <w:r>
              <w:rPr>
                <w:rFonts w:hint="eastAsia" w:ascii="宋体" w:hAnsi="宋体" w:eastAsia="宋体" w:cs="宋体"/>
                <w:sz w:val="24"/>
                <w:szCs w:val="24"/>
                <w:lang w:eastAsia="zh-CN"/>
              </w:rPr>
              <w:t>折叠</w:t>
            </w:r>
            <w:r>
              <w:rPr>
                <w:rFonts w:hint="eastAsia" w:ascii="宋体" w:hAnsi="宋体" w:eastAsia="宋体" w:cs="宋体"/>
                <w:sz w:val="24"/>
                <w:szCs w:val="24"/>
              </w:rPr>
              <w:t>隐藏</w:t>
            </w:r>
            <w:r>
              <w:rPr>
                <w:rFonts w:hint="eastAsia" w:ascii="宋体" w:hAnsi="宋体" w:eastAsia="宋体" w:cs="宋体"/>
                <w:sz w:val="24"/>
                <w:szCs w:val="24"/>
                <w:lang w:eastAsia="zh-CN"/>
              </w:rPr>
              <w:t>，自动挂档、脱档，可避免通道障碍，摇动任何一列均不会带动其他手柄转动。链条破断力≥1800kg。传动轴采用内径Φ20实心45＃钢；连接钢管采用内径Φ20无缝钢管；底盘轴承安装采用P204E级带座球面轴承。</w:t>
            </w:r>
          </w:p>
        </w:tc>
        <w:tc>
          <w:tcPr>
            <w:tcW w:w="1068" w:type="dxa"/>
            <w:vMerge w:val="continue"/>
            <w:vAlign w:val="center"/>
          </w:tcPr>
          <w:p w14:paraId="12B92956">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6044550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76CDA0A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7499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1" w:type="dxa"/>
            <w:vMerge w:val="continue"/>
            <w:vAlign w:val="center"/>
          </w:tcPr>
          <w:p w14:paraId="00E55CA3">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color w:val="000000"/>
                <w:sz w:val="24"/>
                <w:szCs w:val="24"/>
              </w:rPr>
            </w:pPr>
          </w:p>
        </w:tc>
        <w:tc>
          <w:tcPr>
            <w:tcW w:w="6335" w:type="dxa"/>
          </w:tcPr>
          <w:p w14:paraId="3C6A20E8">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pacing w:val="-3"/>
                <w:sz w:val="24"/>
                <w:szCs w:val="24"/>
              </w:rPr>
              <w:t>▲</w:t>
            </w:r>
            <w:r>
              <w:rPr>
                <w:rFonts w:hint="eastAsia" w:ascii="宋体" w:hAnsi="宋体" w:eastAsia="宋体" w:cs="宋体"/>
                <w:spacing w:val="-3"/>
                <w:sz w:val="24"/>
                <w:szCs w:val="24"/>
                <w:lang w:eastAsia="zh-CN"/>
              </w:rPr>
              <w:t>13</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制动装置：每列均装有刹车制动装置，使之做到每一列均可锁定，查阅资料和存放文件时能确保人身安全，存取更安全。每一组合团体均装有总锁装置，使之做到每个组合团体都可锁定。</w:t>
            </w:r>
            <w:r>
              <w:rPr>
                <w:rFonts w:hint="eastAsia" w:ascii="宋体" w:hAnsi="宋体" w:eastAsia="宋体" w:cs="宋体"/>
                <w:sz w:val="24"/>
                <w:szCs w:val="24"/>
              </w:rPr>
              <w:t>每列的接触面均应有缓冲及密封条，顶部有防尘板，每列架体上方安装防尘压条，底部有防鼠板，合拢后无缝隙，具有良好的防尘、防光、防鼠、防潮等功能</w:t>
            </w:r>
            <w:r>
              <w:rPr>
                <w:rFonts w:hint="eastAsia" w:ascii="宋体" w:hAnsi="宋体" w:eastAsia="宋体" w:cs="宋体"/>
                <w:sz w:val="24"/>
                <w:szCs w:val="24"/>
                <w:lang w:eastAsia="zh-CN"/>
              </w:rPr>
              <w:t>。</w:t>
            </w:r>
          </w:p>
        </w:tc>
        <w:tc>
          <w:tcPr>
            <w:tcW w:w="1068" w:type="dxa"/>
            <w:vMerge w:val="continue"/>
            <w:vAlign w:val="center"/>
          </w:tcPr>
          <w:p w14:paraId="12BEEDC2">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4438C922">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740619A1">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3CAF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301CB3D1">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1C83A9F0">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pacing w:val="-3"/>
                <w:sz w:val="24"/>
                <w:szCs w:val="24"/>
              </w:rPr>
              <w:t>▲</w:t>
            </w:r>
            <w:r>
              <w:rPr>
                <w:rFonts w:hint="eastAsia" w:ascii="宋体" w:hAnsi="宋体" w:eastAsia="宋体" w:cs="宋体"/>
                <w:spacing w:val="-3"/>
                <w:sz w:val="24"/>
                <w:szCs w:val="24"/>
                <w:lang w:eastAsia="zh-CN"/>
              </w:rPr>
              <w:t>14</w:t>
            </w:r>
            <w:r>
              <w:rPr>
                <w:rFonts w:hint="eastAsia" w:ascii="宋体" w:hAnsi="宋体" w:eastAsia="宋体" w:cs="宋体"/>
                <w:spacing w:val="-1"/>
                <w:sz w:val="24"/>
                <w:szCs w:val="24"/>
                <w:lang w:eastAsia="zh-CN"/>
              </w:rPr>
              <w:t>、（1）载重性能要求：搁板负载载重 80kg，最大挠度 3mm，24h 卸载后，不得出现裂痕及钢性变形，残余变形量不大于 0.3mm。</w:t>
            </w:r>
          </w:p>
          <w:p w14:paraId="4C6E77EA">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（2）全负载载重：每标准节在全负载（搁板均匀载重 80kg）的情况下，架体、立柱不应有明显变形，架体不应产生倾倒现象。</w:t>
            </w:r>
          </w:p>
          <w:p w14:paraId="0CD52B0B">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（3）载重运行：在全负载的情况下，各列密集架在手动操纵下，都应运行自如，不得有阻滞现象。每标准节手动摇力应不大于 11.8N（每列密集架的手柄摇力为：11.8N×标准节数）。</w:t>
            </w:r>
          </w:p>
        </w:tc>
        <w:tc>
          <w:tcPr>
            <w:tcW w:w="1068" w:type="dxa"/>
            <w:vMerge w:val="continue"/>
            <w:vAlign w:val="center"/>
          </w:tcPr>
          <w:p w14:paraId="576545AD">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5A9D78A0">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3C9CCEDC">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70DC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1" w:type="dxa"/>
            <w:vMerge w:val="continue"/>
            <w:vAlign w:val="center"/>
          </w:tcPr>
          <w:p w14:paraId="12886836">
            <w:pPr>
              <w:keepNext w:val="0"/>
              <w:keepLines w:val="0"/>
              <w:pageBreakBefore w:val="0"/>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6894BDD8">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17</w:t>
            </w:r>
            <w:r>
              <w:rPr>
                <w:rFonts w:hint="eastAsia" w:ascii="宋体" w:hAnsi="宋体" w:eastAsia="宋体" w:cs="宋体"/>
                <w:spacing w:val="-1"/>
                <w:sz w:val="24"/>
                <w:szCs w:val="24"/>
                <w:lang w:eastAsia="zh-CN"/>
              </w:rPr>
              <w:t>、</w:t>
            </w:r>
            <w:r>
              <w:rPr>
                <w:rFonts w:hint="eastAsia" w:ascii="宋体" w:hAnsi="宋体" w:eastAsia="宋体" w:cs="宋体"/>
                <w:spacing w:val="-2"/>
                <w:sz w:val="24"/>
                <w:szCs w:val="24"/>
              </w:rPr>
              <w:t>制造要求</w:t>
            </w:r>
            <w:r>
              <w:rPr>
                <w:rFonts w:hint="eastAsia" w:ascii="宋体" w:hAnsi="宋体" w:eastAsia="宋体" w:cs="宋体"/>
                <w:spacing w:val="-2"/>
                <w:sz w:val="24"/>
                <w:szCs w:val="24"/>
                <w:lang w:eastAsia="zh-CN"/>
              </w:rPr>
              <w:t>：</w:t>
            </w:r>
          </w:p>
          <w:p w14:paraId="5B6A3A6B">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（1）凡需焊接的部位应焊接牢固，焊点均匀，焊痕高度以不大于 1mm，焊点间距应控制在 100mm 以内，焊痕表面波纹平整，不得出现焊焦、焊穿等现象。</w:t>
            </w:r>
          </w:p>
          <w:p w14:paraId="1670F0DF">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（2）冲压件必须平整无毛刺，不允许有裂痕，冲压尺寸的误差应控制在±2.0mm之内。</w:t>
            </w:r>
          </w:p>
          <w:p w14:paraId="07F25667">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（3）折弯必须到位，以确保工件折弯所需角度，其邻边垂直度、平行度控制在≤1.5mm 内。</w:t>
            </w:r>
          </w:p>
          <w:p w14:paraId="3BB1CF0E">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（4）涂层表面应平整光滑，色泽均匀一致，不允许有流挂、起粒、皱皮、露底、剥落、伤痕等外观缺陷。</w:t>
            </w:r>
          </w:p>
          <w:p w14:paraId="033C7287">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（5）各零件、组合件表面应光滑平整，不得有尖角凸起；各零件、组合件之间能保持互换性。所有标准件及紧固件均需氧化或镀锌处理。</w:t>
            </w:r>
          </w:p>
        </w:tc>
        <w:tc>
          <w:tcPr>
            <w:tcW w:w="1068" w:type="dxa"/>
            <w:vMerge w:val="continue"/>
            <w:vAlign w:val="center"/>
          </w:tcPr>
          <w:p w14:paraId="277C39C5">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67AEE73F">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21C1D8B6">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17D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121" w:type="dxa"/>
            <w:vMerge w:val="continue"/>
            <w:vAlign w:val="center"/>
          </w:tcPr>
          <w:p w14:paraId="38201E70">
            <w:pPr>
              <w:keepNext w:val="0"/>
              <w:keepLines w:val="0"/>
              <w:pageBreakBefore w:val="0"/>
              <w:widowControl/>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p>
        </w:tc>
        <w:tc>
          <w:tcPr>
            <w:tcW w:w="6335" w:type="dxa"/>
          </w:tcPr>
          <w:p w14:paraId="7D7A36B0">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18</w:t>
            </w:r>
            <w:r>
              <w:rPr>
                <w:rFonts w:hint="eastAsia" w:ascii="宋体" w:hAnsi="宋体" w:eastAsia="宋体" w:cs="宋体"/>
                <w:spacing w:val="-1"/>
                <w:sz w:val="24"/>
                <w:szCs w:val="24"/>
                <w:lang w:eastAsia="zh-CN"/>
              </w:rPr>
              <w:t>、</w:t>
            </w:r>
            <w:r>
              <w:rPr>
                <w:rFonts w:hint="eastAsia" w:ascii="宋体" w:hAnsi="宋体" w:eastAsia="宋体" w:cs="宋体"/>
                <w:spacing w:val="-2"/>
                <w:sz w:val="24"/>
                <w:szCs w:val="24"/>
                <w:lang w:eastAsia="zh-CN"/>
              </w:rPr>
              <w:t>安装要求：</w:t>
            </w:r>
          </w:p>
          <w:p w14:paraId="4BEFFA5E">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（1）各部安装应牢固可靠，不允许有松动现象，各结构件和架体无明显变形。</w:t>
            </w:r>
          </w:p>
          <w:p w14:paraId="4C073F38">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架体无倾斜现象。每标准节组合后外型尺寸（长、宽、高）的极限偏差为正负2mm。</w:t>
            </w:r>
          </w:p>
          <w:p w14:paraId="599B6D94">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（2）标准架组装后，侧面板与中腰带的对缝处的间隙不大于2mm。</w:t>
            </w:r>
          </w:p>
          <w:p w14:paraId="43FCF5AA">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（3）门缝间隙在工装保障的前提下，均匀一致在1-2mm 之间。</w:t>
            </w:r>
          </w:p>
          <w:p w14:paraId="2B1AC915">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（4）导轨安装后，单根导轨的直线度不大于1.0mm/m，5m中不大于2.0mm，两根导轨水平高度偏差不大于1.0mm/m，两根导轨宽度之间的平行度偏差不大于</w:t>
            </w:r>
          </w:p>
          <w:p w14:paraId="0DAEF2D2">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2.0mm/m，全长不大于 2.0mm，导轨对接处高低差不大于 0.3mm，架体移动时与轨道保持 90 度。</w:t>
            </w:r>
          </w:p>
          <w:p w14:paraId="7162E550">
            <w:pPr>
              <w:pStyle w:val="230"/>
              <w:keepNext w:val="0"/>
              <w:keepLines w:val="0"/>
              <w:pageBreakBefore w:val="0"/>
              <w:kinsoku/>
              <w:wordWrap/>
              <w:overflowPunct/>
              <w:topLinePunct w:val="0"/>
              <w:bidi w:val="0"/>
              <w:adjustRightInd/>
              <w:snapToGrid/>
              <w:spacing w:line="520" w:lineRule="exact"/>
              <w:ind w:left="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（5）架体平行度：正负在 1—2mm/列之间，架体垂直度：正负在 1—2mm/列之间，架体纵向同步度：正负在 1—2mm/列之间。</w:t>
            </w:r>
          </w:p>
        </w:tc>
        <w:tc>
          <w:tcPr>
            <w:tcW w:w="1068" w:type="dxa"/>
            <w:vMerge w:val="continue"/>
            <w:vAlign w:val="center"/>
          </w:tcPr>
          <w:p w14:paraId="50B72AB5">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6" w:type="dxa"/>
            <w:vMerge w:val="continue"/>
            <w:vAlign w:val="center"/>
          </w:tcPr>
          <w:p w14:paraId="641EF5D3">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c>
          <w:tcPr>
            <w:tcW w:w="617" w:type="dxa"/>
            <w:vMerge w:val="continue"/>
            <w:vAlign w:val="center"/>
          </w:tcPr>
          <w:p w14:paraId="42F45174">
            <w:pPr>
              <w:keepNext w:val="0"/>
              <w:keepLines w:val="0"/>
              <w:pageBreakBefore w:val="0"/>
              <w:kinsoku/>
              <w:wordWrap/>
              <w:overflowPunct/>
              <w:topLinePunct w:val="0"/>
              <w:bidi w:val="0"/>
              <w:adjustRightInd/>
              <w:snapToGrid/>
              <w:spacing w:line="520" w:lineRule="exact"/>
              <w:ind w:left="0" w:right="0" w:firstLine="0" w:firstLineChars="0"/>
              <w:jc w:val="left"/>
              <w:textAlignment w:val="auto"/>
              <w:rPr>
                <w:rFonts w:hint="eastAsia" w:ascii="宋体" w:hAnsi="宋体" w:eastAsia="宋体" w:cs="宋体"/>
                <w:sz w:val="24"/>
                <w:szCs w:val="24"/>
              </w:rPr>
            </w:pPr>
          </w:p>
        </w:tc>
      </w:tr>
      <w:tr w14:paraId="508D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21" w:type="dxa"/>
            <w:vAlign w:val="center"/>
          </w:tcPr>
          <w:p w14:paraId="3E907A7C">
            <w:pPr>
              <w:keepNext w:val="0"/>
              <w:keepLines w:val="0"/>
              <w:pageBreakBefore w:val="0"/>
              <w:widowControl/>
              <w:kinsoku/>
              <w:wordWrap/>
              <w:overflowPunct/>
              <w:topLinePunct w:val="0"/>
              <w:bidi w:val="0"/>
              <w:adjustRightInd/>
              <w:snapToGrid/>
              <w:spacing w:line="520" w:lineRule="exact"/>
              <w:ind w:left="0" w:right="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1"/>
                <w:szCs w:val="21"/>
              </w:rPr>
              <w:t>说明</w:t>
            </w:r>
          </w:p>
        </w:tc>
        <w:tc>
          <w:tcPr>
            <w:tcW w:w="8636" w:type="dxa"/>
            <w:gridSpan w:val="4"/>
          </w:tcPr>
          <w:p w14:paraId="42958597">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 xml:space="preserve">打“★”号条款为实质性条款，若有任何一条负偏离或不满足则导致投标（响应）无效。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打“▲”号条款为重要参数（如有），若有部分“▲”条款未响应或不满足，将根据评审要求影响其得分，但不作为无效投标（响应）条款。</w:t>
            </w:r>
          </w:p>
        </w:tc>
      </w:tr>
    </w:tbl>
    <w:p w14:paraId="157C9F1C">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p>
    <w:p w14:paraId="3E3B1E30">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p>
    <w:p w14:paraId="5437C4A5">
      <w:pPr>
        <w:rPr>
          <w:rFonts w:hint="eastAsia" w:ascii="宋体" w:hAnsi="宋体" w:eastAsia="宋体" w:cs="宋体"/>
          <w:sz w:val="24"/>
          <w:szCs w:val="24"/>
        </w:rPr>
      </w:pPr>
      <w:r>
        <w:rPr>
          <w:rFonts w:hint="eastAsia" w:ascii="宋体" w:hAnsi="宋体" w:eastAsia="宋体" w:cs="宋体"/>
          <w:sz w:val="24"/>
          <w:szCs w:val="24"/>
        </w:rPr>
        <w:br w:type="page"/>
      </w:r>
    </w:p>
    <w:p w14:paraId="4C8F912D">
      <w:pPr>
        <w:pStyle w:val="2"/>
        <w:pageBreakBefore w:val="0"/>
        <w:wordWrap/>
        <w:overflowPunct/>
        <w:topLinePunct w:val="0"/>
        <w:bidi w:val="0"/>
        <w:spacing w:line="520" w:lineRule="exact"/>
        <w:ind w:left="0" w:right="0" w:firstLine="482" w:firstLineChars="200"/>
        <w:rPr>
          <w:rFonts w:hint="eastAsia" w:ascii="宋体" w:hAnsi="宋体" w:eastAsia="宋体" w:cs="宋体"/>
          <w:b/>
          <w:bCs/>
          <w:sz w:val="24"/>
          <w:szCs w:val="24"/>
        </w:rPr>
      </w:pPr>
      <w:r>
        <w:rPr>
          <w:rFonts w:hint="eastAsia" w:ascii="宋体" w:hAnsi="宋体" w:eastAsia="宋体" w:cs="宋体"/>
          <w:b/>
          <w:bCs/>
          <w:sz w:val="24"/>
          <w:szCs w:val="24"/>
        </w:rPr>
        <w:t>平面</w:t>
      </w:r>
      <w:r>
        <w:rPr>
          <w:rFonts w:hint="eastAsia" w:ascii="宋体" w:hAnsi="宋体" w:eastAsia="宋体" w:cs="宋体"/>
          <w:b/>
          <w:bCs/>
          <w:sz w:val="24"/>
          <w:szCs w:val="24"/>
          <w:lang w:val="en-US" w:eastAsia="zh-CN"/>
        </w:rPr>
        <w:t>示</w:t>
      </w:r>
      <w:r>
        <w:rPr>
          <w:rFonts w:hint="eastAsia" w:ascii="宋体" w:hAnsi="宋体" w:eastAsia="宋体" w:cs="宋体"/>
          <w:b/>
          <w:bCs/>
          <w:sz w:val="24"/>
          <w:szCs w:val="24"/>
        </w:rPr>
        <w:t>意图：</w:t>
      </w:r>
    </w:p>
    <w:p w14:paraId="461F01B7">
      <w:pPr>
        <w:pageBreakBefore w:val="0"/>
        <w:wordWrap/>
        <w:overflowPunct/>
        <w:topLinePunct w:val="0"/>
        <w:bidi w:val="0"/>
        <w:spacing w:line="520" w:lineRule="exact"/>
        <w:ind w:right="0"/>
        <w:rPr>
          <w:rFonts w:hint="eastAsia" w:ascii="宋体" w:hAnsi="宋体" w:eastAsia="宋体" w:cs="宋体"/>
          <w:sz w:val="24"/>
          <w:szCs w:val="24"/>
        </w:rPr>
      </w:pPr>
      <w:r>
        <w:rPr>
          <w:rFonts w:hint="eastAsia" w:ascii="宋体" w:hAnsi="宋体" w:eastAsia="宋体" w:cs="宋体"/>
          <w:sz w:val="24"/>
          <w:szCs w:val="24"/>
        </w:rPr>
        <w:drawing>
          <wp:anchor distT="0" distB="0" distL="0" distR="0" simplePos="0" relativeHeight="251662336" behindDoc="0" locked="0" layoutInCell="1" allowOverlap="1">
            <wp:simplePos x="0" y="0"/>
            <wp:positionH relativeFrom="column">
              <wp:posOffset>109855</wp:posOffset>
            </wp:positionH>
            <wp:positionV relativeFrom="paragraph">
              <wp:posOffset>69850</wp:posOffset>
            </wp:positionV>
            <wp:extent cx="6048375" cy="5438775"/>
            <wp:effectExtent l="0" t="0" r="9525" b="952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srcRect/>
                    <a:stretch>
                      <a:fillRect/>
                    </a:stretch>
                  </pic:blipFill>
                  <pic:spPr>
                    <a:xfrm>
                      <a:off x="0" y="0"/>
                      <a:ext cx="6048375" cy="5438775"/>
                    </a:xfrm>
                    <a:prstGeom prst="rect">
                      <a:avLst/>
                    </a:prstGeom>
                    <a:noFill/>
                    <a:ln w="9525">
                      <a:noFill/>
                      <a:miter lim="800000"/>
                      <a:headEnd/>
                      <a:tailEnd/>
                    </a:ln>
                  </pic:spPr>
                </pic:pic>
              </a:graphicData>
            </a:graphic>
          </wp:anchor>
        </w:drawing>
      </w:r>
    </w:p>
    <w:p w14:paraId="3D303E3A">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1.5 商务服务需求：</w:t>
      </w:r>
    </w:p>
    <w:p w14:paraId="650B1D4A">
      <w:pPr>
        <w:pageBreakBefore w:val="0"/>
        <w:wordWrap/>
        <w:overflowPunct/>
        <w:topLinePunct w:val="0"/>
        <w:bidi w:val="0"/>
        <w:spacing w:line="520" w:lineRule="exact"/>
        <w:ind w:left="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1.5.1本项目</w:t>
      </w:r>
      <w:r>
        <w:rPr>
          <w:rFonts w:hint="eastAsia" w:ascii="宋体" w:hAnsi="宋体" w:eastAsia="宋体" w:cs="宋体"/>
          <w:b/>
          <w:bCs/>
          <w:sz w:val="24"/>
          <w:szCs w:val="24"/>
          <w:lang w:val="en-US" w:eastAsia="zh-CN"/>
        </w:rPr>
        <w:t>交货期为30个日历天</w:t>
      </w:r>
      <w:r>
        <w:rPr>
          <w:rFonts w:hint="eastAsia" w:ascii="宋体" w:hAnsi="宋体" w:eastAsia="宋体" w:cs="宋体"/>
          <w:sz w:val="24"/>
          <w:szCs w:val="24"/>
          <w:lang w:val="en-US" w:eastAsia="zh-CN"/>
        </w:rPr>
        <w:t>（含密集架的安装和调试时间）；</w:t>
      </w:r>
    </w:p>
    <w:p w14:paraId="64008936">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2</w:t>
      </w:r>
      <w:r>
        <w:rPr>
          <w:rFonts w:hint="eastAsia" w:ascii="宋体" w:hAnsi="宋体" w:eastAsia="宋体" w:cs="宋体"/>
          <w:sz w:val="24"/>
          <w:szCs w:val="24"/>
        </w:rPr>
        <w:t>投标人所投</w:t>
      </w:r>
      <w:r>
        <w:rPr>
          <w:rFonts w:hint="eastAsia" w:ascii="宋体" w:hAnsi="宋体" w:eastAsia="宋体" w:cs="宋体"/>
          <w:sz w:val="24"/>
          <w:szCs w:val="24"/>
          <w:lang w:val="en-US" w:eastAsia="zh-CN"/>
        </w:rPr>
        <w:t>报</w:t>
      </w:r>
      <w:r>
        <w:rPr>
          <w:rFonts w:hint="eastAsia" w:ascii="宋体" w:hAnsi="宋体" w:eastAsia="宋体" w:cs="宋体"/>
          <w:sz w:val="24"/>
          <w:szCs w:val="24"/>
        </w:rPr>
        <w:t>的货物应当是一年内生产的、全新未使用的、无损坏的全新货物，各项技术指标完全符合国家有关质量检测、环保标准及产品出厂标准，货物的包装均应有良好的防湿、防锈、防潮、防雨、防腐及防碰撞的措施。凡由于包装不良造成的损失和由此产生的费用均由中标人承担。</w:t>
      </w:r>
    </w:p>
    <w:p w14:paraId="7B94AEAB">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3</w:t>
      </w:r>
      <w:r>
        <w:rPr>
          <w:rFonts w:hint="eastAsia" w:ascii="宋体" w:hAnsi="宋体" w:eastAsia="宋体" w:cs="宋体"/>
          <w:bCs/>
          <w:sz w:val="24"/>
          <w:szCs w:val="24"/>
        </w:rPr>
        <w:t xml:space="preserve">中标人负责将货物到现场过程中的全部运输，包括装卸车、货物现场的搬运。货物在安装调试验收合格前的保险由中标人负责，中标人负责其派出的现场人员的人生意外保险。 </w:t>
      </w:r>
    </w:p>
    <w:p w14:paraId="35CA9CCA">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4</w:t>
      </w:r>
      <w:r>
        <w:rPr>
          <w:rFonts w:hint="eastAsia" w:ascii="宋体" w:hAnsi="宋体" w:eastAsia="宋体" w:cs="宋体"/>
          <w:bCs/>
          <w:sz w:val="24"/>
          <w:szCs w:val="24"/>
        </w:rPr>
        <w:t>各种设备必须提供装箱清单，按装箱清单验收货物。</w:t>
      </w:r>
    </w:p>
    <w:p w14:paraId="085C0B66">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货物在现场的保管由中标人负责，直至项目验收完毕。</w:t>
      </w:r>
    </w:p>
    <w:p w14:paraId="53709C7D">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6</w:t>
      </w:r>
      <w:r>
        <w:rPr>
          <w:rFonts w:hint="eastAsia" w:ascii="宋体" w:hAnsi="宋体" w:eastAsia="宋体" w:cs="宋体"/>
          <w:bCs/>
          <w:sz w:val="24"/>
          <w:szCs w:val="24"/>
        </w:rPr>
        <w:t>中标人负责组织专门的技术团队负责设备的安装和调试、对院内相关人员培训等工作完成后，联系本项目负责人，按医院的流程进行验收，此外验收后终身提供免费的技术指导服务。</w:t>
      </w:r>
    </w:p>
    <w:p w14:paraId="5872E417">
      <w:pPr>
        <w:pStyle w:val="2"/>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7本项目质保期最少七年，</w:t>
      </w:r>
      <w:r>
        <w:rPr>
          <w:rFonts w:hint="eastAsia" w:ascii="宋体" w:hAnsi="宋体" w:eastAsia="宋体" w:cs="宋体"/>
          <w:bCs/>
          <w:sz w:val="24"/>
          <w:szCs w:val="24"/>
        </w:rPr>
        <w:t>质保期内如果产品出现故障（非人为损坏），供应商提供24小时免费上门检测维修服务</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质保期后应提供终身维护服务</w:t>
      </w:r>
      <w:r>
        <w:rPr>
          <w:rFonts w:hint="eastAsia" w:ascii="宋体" w:hAnsi="宋体" w:eastAsia="宋体" w:cs="宋体"/>
          <w:bCs/>
          <w:sz w:val="24"/>
          <w:szCs w:val="24"/>
          <w:lang w:eastAsia="zh-CN"/>
        </w:rPr>
        <w:t>，</w:t>
      </w:r>
      <w:r>
        <w:rPr>
          <w:rFonts w:hint="eastAsia" w:ascii="宋体" w:hAnsi="宋体" w:eastAsia="宋体" w:cs="宋体"/>
          <w:bCs/>
          <w:sz w:val="24"/>
          <w:szCs w:val="24"/>
        </w:rPr>
        <w:t>请在遴选响应文件中列明质保期内</w:t>
      </w:r>
      <w:r>
        <w:rPr>
          <w:rFonts w:hint="eastAsia" w:ascii="宋体" w:hAnsi="宋体" w:eastAsia="宋体" w:cs="宋体"/>
          <w:bCs/>
          <w:sz w:val="24"/>
          <w:szCs w:val="24"/>
          <w:lang w:val="en-US" w:eastAsia="zh-CN"/>
        </w:rPr>
        <w:t>和质保期</w:t>
      </w:r>
      <w:r>
        <w:rPr>
          <w:rFonts w:hint="eastAsia" w:ascii="宋体" w:hAnsi="宋体" w:eastAsia="宋体" w:cs="宋体"/>
          <w:bCs/>
          <w:sz w:val="24"/>
          <w:szCs w:val="24"/>
        </w:rPr>
        <w:t>外的详细服务方案。</w:t>
      </w:r>
    </w:p>
    <w:p w14:paraId="629015C8">
      <w:pPr>
        <w:pStyle w:val="6"/>
        <w:pageBreakBefore w:val="0"/>
        <w:wordWrap/>
        <w:overflowPunct/>
        <w:topLinePunct w:val="0"/>
        <w:bidi w:val="0"/>
        <w:spacing w:before="0" w:after="0" w:line="520" w:lineRule="exact"/>
        <w:ind w:left="0" w:right="0" w:firstLine="482" w:firstLineChars="200"/>
        <w:rPr>
          <w:rFonts w:hint="eastAsia" w:ascii="宋体" w:hAnsi="宋体" w:eastAsia="宋体" w:cs="宋体"/>
          <w:b/>
          <w:bCs/>
          <w:sz w:val="24"/>
          <w:szCs w:val="24"/>
        </w:rPr>
      </w:pPr>
      <w:r>
        <w:rPr>
          <w:rFonts w:hint="eastAsia" w:ascii="宋体" w:hAnsi="宋体" w:eastAsia="宋体" w:cs="宋体"/>
          <w:b/>
          <w:bCs/>
          <w:sz w:val="24"/>
          <w:szCs w:val="24"/>
        </w:rPr>
        <w:t>2．供应商资格要求</w:t>
      </w:r>
    </w:p>
    <w:p w14:paraId="2B252681">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sz w:val="24"/>
          <w:szCs w:val="24"/>
        </w:rPr>
        <w:t>供应商</w:t>
      </w:r>
      <w:r>
        <w:rPr>
          <w:rFonts w:hint="eastAsia" w:ascii="宋体" w:hAnsi="宋体" w:eastAsia="宋体" w:cs="宋体"/>
          <w:bCs/>
          <w:sz w:val="24"/>
          <w:szCs w:val="24"/>
        </w:rPr>
        <w:t>必须满足以下资格要求中的所有条款，并按照相关规定递交资格证明文件。</w:t>
      </w:r>
    </w:p>
    <w:p w14:paraId="23AE7280">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2.1须是中华人民共和国境内注册，具有独立法人资格，企业财务状况良好，依法缴纳税收和社会保障资金,具备承担遴选项目的能力；</w:t>
      </w:r>
    </w:p>
    <w:p w14:paraId="2D70DD92">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2.2所提供的必须是遴选响应人合法生产或代理的符合国家质量标准、行业标准和专业标准等相关标准的合格产品，并能确保在合同有效期内按照合同中规定的品名、厂家、规格、价格、批号、有效期及时供货；</w:t>
      </w:r>
    </w:p>
    <w:p w14:paraId="5470E770">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2.3生产厂家或销售商家须具有相应资质；</w:t>
      </w:r>
    </w:p>
    <w:p w14:paraId="0593F40B">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2.4不得有商业贿赂和不正当欺诈行为。如遴选响应人被证实有以上行为，将被视为不合格；</w:t>
      </w:r>
    </w:p>
    <w:p w14:paraId="3F45E86E">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2.5具有良好的商业信誉和完善的售后服务体系，并能承担遴选项目供货能力和服务。</w:t>
      </w:r>
    </w:p>
    <w:p w14:paraId="1135446C">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6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 “信用中国”（http://www.creditchina.gov.cn）网站中查询“失信被执行人” 、“重大税收违法案件当事人名单”、“政府采购不良行为记录”，中国政府采购网（www.ccgp.gov.cn）网站中查询“政府采购严重违法失信行为记录名单”，不得存在被列为失信被执行人的情形，并将查询结果网页打印并加盖公章；</w:t>
      </w:r>
    </w:p>
    <w:p w14:paraId="47CDA7F9">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2.7近三年内参加招投标活动在经营活动中没有重大违法违纪记录；</w:t>
      </w:r>
    </w:p>
    <w:p w14:paraId="76BCE41C">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sz w:val="24"/>
          <w:szCs w:val="24"/>
        </w:rPr>
        <w:t>2.8如遴选响应人被政府有关部门通报列入黑名单的，禁止参加本项目遴选响应；</w:t>
      </w:r>
    </w:p>
    <w:p w14:paraId="3AD5B9F5">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2.9单位负责人为同一人或者存在控股、管理关系的不同单位，不得同时参加同一项目的遴选响应；</w:t>
      </w:r>
    </w:p>
    <w:p w14:paraId="190196F7">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2.10遴选响应人经营行为必须符合国家法律、法规和有关规定。</w:t>
      </w:r>
    </w:p>
    <w:p w14:paraId="69472BB1">
      <w:pPr>
        <w:pageBreakBefore w:val="0"/>
        <w:widowControl/>
        <w:wordWrap/>
        <w:overflowPunct/>
        <w:topLinePunct w:val="0"/>
        <w:bidi w:val="0"/>
        <w:spacing w:line="52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2.11本次遴选不接受联合体遴选响应。</w:t>
      </w:r>
    </w:p>
    <w:p w14:paraId="1AB72E48">
      <w:pPr>
        <w:pageBreakBefore w:val="0"/>
        <w:widowControl/>
        <w:wordWrap/>
        <w:overflowPunct/>
        <w:topLinePunct w:val="0"/>
        <w:bidi w:val="0"/>
        <w:spacing w:line="52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2.12</w:t>
      </w:r>
      <w:r>
        <w:rPr>
          <w:rFonts w:hint="eastAsia" w:ascii="宋体" w:hAnsi="宋体" w:eastAsia="宋体" w:cs="宋体"/>
          <w:color w:val="000000"/>
          <w:kern w:val="0"/>
          <w:sz w:val="24"/>
          <w:szCs w:val="24"/>
        </w:rPr>
        <w:t>本次遴选未得到遴选人允许，不得转包、分包，否则取消</w:t>
      </w:r>
      <w:r>
        <w:rPr>
          <w:rFonts w:hint="eastAsia" w:ascii="宋体" w:hAnsi="宋体" w:eastAsia="宋体" w:cs="宋体"/>
          <w:kern w:val="0"/>
          <w:sz w:val="24"/>
          <w:szCs w:val="24"/>
        </w:rPr>
        <w:t>其响应、成交资格，并赔偿遴选人全部损失。</w:t>
      </w:r>
    </w:p>
    <w:p w14:paraId="74315346">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2.13遴选响应人须入驻广东政府采购智慧云平台。（登录“广东政府采购智慧云平台”找到入驻资格的页面进行截图）。</w:t>
      </w:r>
    </w:p>
    <w:p w14:paraId="64151DA8">
      <w:pPr>
        <w:pStyle w:val="6"/>
        <w:pageBreakBefore w:val="0"/>
        <w:wordWrap/>
        <w:overflowPunct/>
        <w:topLinePunct w:val="0"/>
        <w:bidi w:val="0"/>
        <w:spacing w:before="0" w:after="0" w:line="520" w:lineRule="exact"/>
        <w:ind w:left="0" w:right="0" w:firstLine="482" w:firstLineChars="200"/>
        <w:rPr>
          <w:rFonts w:hint="eastAsia" w:ascii="宋体" w:hAnsi="宋体" w:eastAsia="宋体" w:cs="宋体"/>
          <w:b/>
          <w:bCs/>
          <w:sz w:val="24"/>
          <w:szCs w:val="24"/>
        </w:rPr>
      </w:pPr>
      <w:bookmarkStart w:id="30" w:name="_Toc202872944"/>
      <w:bookmarkStart w:id="31" w:name="_Toc367082517"/>
      <w:bookmarkStart w:id="32" w:name="_Toc294013655"/>
      <w:bookmarkStart w:id="33" w:name="_Toc315688533"/>
      <w:r>
        <w:rPr>
          <w:rFonts w:hint="eastAsia" w:ascii="宋体" w:hAnsi="宋体" w:eastAsia="宋体" w:cs="宋体"/>
          <w:b/>
          <w:bCs/>
          <w:sz w:val="24"/>
          <w:szCs w:val="24"/>
        </w:rPr>
        <w:t>3．</w:t>
      </w:r>
      <w:bookmarkEnd w:id="30"/>
      <w:bookmarkEnd w:id="31"/>
      <w:bookmarkEnd w:id="32"/>
      <w:bookmarkEnd w:id="33"/>
      <w:r>
        <w:rPr>
          <w:rFonts w:hint="eastAsia" w:ascii="宋体" w:hAnsi="宋体" w:eastAsia="宋体" w:cs="宋体"/>
          <w:b/>
          <w:bCs/>
          <w:sz w:val="24"/>
          <w:szCs w:val="24"/>
        </w:rPr>
        <w:t>遴选响应资料</w:t>
      </w:r>
    </w:p>
    <w:p w14:paraId="64037298">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3.1开平市中心医院病案密集架采购项目报名表</w:t>
      </w:r>
      <w:r>
        <w:rPr>
          <w:rFonts w:hint="eastAsia" w:ascii="宋体" w:hAnsi="宋体" w:eastAsia="宋体" w:cs="宋体"/>
          <w:b/>
          <w:bCs w:val="0"/>
          <w:sz w:val="24"/>
          <w:lang w:eastAsia="zh-CN"/>
        </w:rPr>
        <w:t>（</w:t>
      </w:r>
      <w:r>
        <w:rPr>
          <w:rFonts w:hint="eastAsia" w:ascii="宋体" w:hAnsi="宋体" w:eastAsia="宋体" w:cs="宋体"/>
          <w:b/>
          <w:bCs w:val="0"/>
          <w:sz w:val="24"/>
          <w:lang w:val="en-US" w:eastAsia="zh-CN"/>
        </w:rPr>
        <w:t>报名资料与遴选文件一齐提交即可</w:t>
      </w:r>
      <w:r>
        <w:rPr>
          <w:rFonts w:hint="eastAsia" w:ascii="宋体" w:hAnsi="宋体" w:eastAsia="宋体" w:cs="宋体"/>
          <w:b/>
          <w:bCs w:val="0"/>
          <w:sz w:val="24"/>
          <w:lang w:eastAsia="zh-CN"/>
        </w:rPr>
        <w:t>）</w:t>
      </w:r>
      <w:r>
        <w:rPr>
          <w:rFonts w:hint="eastAsia" w:ascii="宋体" w:hAnsi="宋体" w:eastAsia="宋体" w:cs="宋体"/>
          <w:sz w:val="24"/>
          <w:szCs w:val="24"/>
        </w:rPr>
        <w:t>；</w:t>
      </w:r>
    </w:p>
    <w:p w14:paraId="0DEAC2B1">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3.2遴选响应文件（</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w:t>
      </w:r>
      <w:r>
        <w:rPr>
          <w:rFonts w:hint="eastAsia" w:ascii="宋体" w:hAnsi="宋体" w:eastAsia="宋体" w:cs="宋体"/>
          <w:b/>
          <w:sz w:val="24"/>
          <w:szCs w:val="24"/>
        </w:rPr>
        <w:t>,</w:t>
      </w:r>
      <w:r>
        <w:rPr>
          <w:rFonts w:hint="eastAsia" w:ascii="宋体" w:hAnsi="宋体" w:eastAsia="宋体" w:cs="宋体"/>
          <w:sz w:val="24"/>
          <w:szCs w:val="24"/>
        </w:rPr>
        <w:t xml:space="preserve"> 正本单独密封，所有副本可一起密封，所有密封封皮上注明产品名称及遴选响应人名称，并加盖骑缝章</w:t>
      </w:r>
    </w:p>
    <w:p w14:paraId="72ED6B05">
      <w:pPr>
        <w:pageBreakBefore w:val="0"/>
        <w:wordWrap/>
        <w:overflowPunct/>
        <w:topLinePunct w:val="0"/>
        <w:bidi w:val="0"/>
        <w:spacing w:line="520" w:lineRule="exact"/>
        <w:ind w:left="0" w:right="0" w:firstLine="480" w:firstLineChars="200"/>
        <w:rPr>
          <w:rFonts w:hint="eastAsia" w:ascii="宋体" w:hAnsi="宋体" w:eastAsia="宋体" w:cs="宋体"/>
          <w:color w:val="000000"/>
          <w:sz w:val="24"/>
          <w:szCs w:val="24"/>
        </w:rPr>
      </w:pPr>
      <w:r>
        <w:rPr>
          <w:rFonts w:hint="eastAsia" w:ascii="宋体" w:hAnsi="宋体" w:eastAsia="宋体" w:cs="宋体"/>
          <w:sz w:val="24"/>
          <w:szCs w:val="24"/>
        </w:rPr>
        <w:t>以上资料准备完整的供应商方可参加，遴选响应文件和报名表获取方式：本院网站下载。</w:t>
      </w:r>
    </w:p>
    <w:p w14:paraId="2DA13A8A">
      <w:pPr>
        <w:pStyle w:val="2"/>
        <w:pageBreakBefore w:val="0"/>
        <w:wordWrap/>
        <w:overflowPunct/>
        <w:topLinePunct w:val="0"/>
        <w:bidi w:val="0"/>
        <w:spacing w:line="520" w:lineRule="exact"/>
        <w:ind w:left="0" w:right="0" w:firstLine="482" w:firstLineChars="200"/>
        <w:rPr>
          <w:rFonts w:hint="eastAsia" w:ascii="宋体" w:hAnsi="宋体" w:eastAsia="宋体" w:cs="宋体"/>
          <w:b/>
          <w:bCs/>
          <w:sz w:val="24"/>
          <w:szCs w:val="24"/>
        </w:rPr>
      </w:pPr>
      <w:r>
        <w:rPr>
          <w:rFonts w:hint="eastAsia" w:ascii="宋体" w:hAnsi="宋体" w:eastAsia="宋体" w:cs="宋体"/>
          <w:b/>
          <w:bCs/>
          <w:sz w:val="24"/>
          <w:szCs w:val="24"/>
        </w:rPr>
        <w:t>4.资料递交时间、地点、</w:t>
      </w:r>
      <w:r>
        <w:rPr>
          <w:rFonts w:hint="eastAsia" w:ascii="宋体" w:hAnsi="宋体" w:eastAsia="宋体" w:cs="宋体"/>
          <w:b/>
          <w:sz w:val="24"/>
          <w:szCs w:val="24"/>
        </w:rPr>
        <w:t>报价方式</w:t>
      </w:r>
      <w:r>
        <w:rPr>
          <w:rFonts w:hint="eastAsia" w:ascii="宋体" w:hAnsi="宋体" w:eastAsia="宋体" w:cs="宋体"/>
          <w:b/>
          <w:bCs/>
          <w:sz w:val="24"/>
          <w:szCs w:val="24"/>
        </w:rPr>
        <w:t>及</w:t>
      </w:r>
      <w:r>
        <w:rPr>
          <w:rFonts w:hint="eastAsia" w:ascii="宋体" w:hAnsi="宋体" w:eastAsia="宋体" w:cs="宋体"/>
          <w:b/>
          <w:color w:val="000000"/>
          <w:sz w:val="24"/>
          <w:szCs w:val="24"/>
        </w:rPr>
        <w:t>评审办法</w:t>
      </w:r>
      <w:r>
        <w:rPr>
          <w:rFonts w:hint="eastAsia" w:ascii="宋体" w:hAnsi="宋体" w:eastAsia="宋体" w:cs="宋体"/>
          <w:b/>
          <w:bCs/>
          <w:sz w:val="24"/>
          <w:szCs w:val="24"/>
        </w:rPr>
        <w:t>：</w:t>
      </w:r>
    </w:p>
    <w:p w14:paraId="782F568F">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highlight w:val="none"/>
        </w:rPr>
        <w:t>时间:2025年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日-2025年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w:t>
      </w:r>
    </w:p>
    <w:p w14:paraId="29588A07">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（工作日上午8：30——11:30，下午2:00——5:30）</w:t>
      </w:r>
    </w:p>
    <w:p w14:paraId="6F59160A">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4.2地点：广东省开平市长沙街道办事处三江A7区，开平市中心医院张襯</w:t>
      </w:r>
      <w:r>
        <w:rPr>
          <w:rFonts w:hint="eastAsia" w:ascii="宋体" w:hAnsi="宋体" w:eastAsia="宋体" w:cs="宋体"/>
          <w:sz w:val="24"/>
          <w:szCs w:val="24"/>
          <w:lang w:val="en-US" w:eastAsia="zh-CN"/>
        </w:rPr>
        <w:t>大</w:t>
      </w:r>
      <w:r>
        <w:rPr>
          <w:rFonts w:hint="eastAsia" w:ascii="宋体" w:hAnsi="宋体" w:eastAsia="宋体" w:cs="宋体"/>
          <w:sz w:val="24"/>
          <w:szCs w:val="24"/>
        </w:rPr>
        <w:t>楼后勤股</w:t>
      </w:r>
    </w:p>
    <w:p w14:paraId="2147A530">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（邮寄收件人：</w:t>
      </w:r>
      <w:r>
        <w:rPr>
          <w:rFonts w:hint="eastAsia" w:ascii="宋体" w:hAnsi="宋体" w:eastAsia="宋体" w:cs="宋体"/>
          <w:color w:val="000000"/>
          <w:sz w:val="24"/>
          <w:szCs w:val="24"/>
        </w:rPr>
        <w:t>龚小姐，电话：15917318304</w:t>
      </w:r>
      <w:r>
        <w:rPr>
          <w:rFonts w:hint="eastAsia" w:ascii="宋体" w:hAnsi="宋体" w:eastAsia="宋体" w:cs="宋体"/>
          <w:sz w:val="24"/>
          <w:szCs w:val="24"/>
        </w:rPr>
        <w:t>）</w:t>
      </w:r>
    </w:p>
    <w:p w14:paraId="12C8D32C">
      <w:pPr>
        <w:pageBreakBefore w:val="0"/>
        <w:wordWrap/>
        <w:overflowPunct/>
        <w:topLinePunct w:val="0"/>
        <w:bidi w:val="0"/>
        <w:spacing w:line="520" w:lineRule="exact"/>
        <w:ind w:left="0" w:right="0" w:firstLine="480" w:firstLineChars="200"/>
        <w:rPr>
          <w:rFonts w:hint="eastAsia" w:ascii="宋体" w:hAnsi="宋体" w:eastAsia="宋体" w:cs="宋体"/>
          <w:kern w:val="0"/>
          <w:sz w:val="24"/>
          <w:szCs w:val="24"/>
          <w:highlight w:val="yellow"/>
        </w:rPr>
      </w:pPr>
      <w:r>
        <w:rPr>
          <w:rFonts w:hint="eastAsia" w:ascii="宋体" w:hAnsi="宋体" w:eastAsia="宋体" w:cs="宋体"/>
          <w:sz w:val="24"/>
          <w:szCs w:val="24"/>
        </w:rPr>
        <w:t>4.3报价方式：</w:t>
      </w:r>
    </w:p>
    <w:p w14:paraId="74EFB99F">
      <w:pPr>
        <w:pageBreakBefore w:val="0"/>
        <w:widowControl/>
        <w:wordWrap/>
        <w:overflowPunct/>
        <w:topLinePunct w:val="0"/>
        <w:bidi w:val="0"/>
        <w:spacing w:line="520" w:lineRule="exact"/>
        <w:ind w:left="0" w:right="0" w:firstLine="480" w:firstLineChars="200"/>
        <w:jc w:val="left"/>
        <w:rPr>
          <w:rFonts w:hint="eastAsia" w:ascii="宋体" w:hAnsi="宋体" w:eastAsia="宋体" w:cs="宋体"/>
          <w:color w:val="FF0000"/>
          <w:sz w:val="24"/>
          <w:szCs w:val="24"/>
        </w:rPr>
      </w:pPr>
      <w:r>
        <w:rPr>
          <w:rFonts w:hint="eastAsia" w:ascii="宋体" w:hAnsi="宋体" w:eastAsia="宋体" w:cs="宋体"/>
          <w:kern w:val="0"/>
          <w:sz w:val="24"/>
          <w:szCs w:val="24"/>
        </w:rPr>
        <w:t>遴选响应人应根据遴选文件的要求进行一次性报价，遴选人不再支付因遴选响应人漏项或是填写错误而增加的任何费用</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总价包含装卸费、保险费、人工费、安装费、材料费、税金等一切费用。</w:t>
      </w:r>
    </w:p>
    <w:p w14:paraId="44D6AA4D">
      <w:pPr>
        <w:pageBreakBefore w:val="0"/>
        <w:wordWrap/>
        <w:overflowPunct/>
        <w:topLinePunct w:val="0"/>
        <w:bidi w:val="0"/>
        <w:spacing w:line="520" w:lineRule="exact"/>
        <w:ind w:left="0" w:right="0" w:firstLine="480" w:firstLineChars="200"/>
        <w:rPr>
          <w:rFonts w:hint="eastAsia" w:ascii="宋体" w:hAnsi="宋体" w:eastAsia="宋体" w:cs="宋体"/>
          <w:b/>
          <w:sz w:val="24"/>
          <w:szCs w:val="24"/>
        </w:rPr>
      </w:pPr>
      <w:r>
        <w:rPr>
          <w:rFonts w:hint="eastAsia" w:ascii="宋体" w:hAnsi="宋体" w:eastAsia="宋体" w:cs="宋体"/>
          <w:sz w:val="24"/>
          <w:szCs w:val="24"/>
        </w:rPr>
        <w:t>4.4</w:t>
      </w:r>
      <w:r>
        <w:rPr>
          <w:rFonts w:hint="eastAsia" w:ascii="宋体" w:hAnsi="宋体" w:eastAsia="宋体" w:cs="宋体"/>
          <w:color w:val="000000"/>
          <w:sz w:val="24"/>
          <w:szCs w:val="24"/>
        </w:rPr>
        <w:t>评审办法：综合评分法</w:t>
      </w:r>
    </w:p>
    <w:p w14:paraId="6E774612">
      <w:pPr>
        <w:pStyle w:val="226"/>
        <w:pageBreakBefore w:val="0"/>
        <w:wordWrap/>
        <w:overflowPunct/>
        <w:topLinePunct w:val="0"/>
        <w:bidi w:val="0"/>
        <w:spacing w:line="520" w:lineRule="exact"/>
        <w:ind w:left="0" w:right="0" w:firstLine="482" w:firstLineChars="200"/>
        <w:outlineLvl w:val="3"/>
        <w:rPr>
          <w:rFonts w:hint="eastAsia" w:ascii="宋体" w:hAnsi="宋体" w:eastAsia="宋体" w:cs="宋体"/>
          <w:sz w:val="24"/>
          <w:szCs w:val="24"/>
        </w:rPr>
      </w:pPr>
      <w:r>
        <w:rPr>
          <w:rFonts w:hint="eastAsia" w:ascii="宋体" w:hAnsi="宋体" w:eastAsia="宋体" w:cs="宋体"/>
          <w:b/>
          <w:sz w:val="24"/>
          <w:szCs w:val="24"/>
        </w:rPr>
        <w:t>详细评审</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3"/>
        <w:gridCol w:w="2017"/>
        <w:gridCol w:w="6547"/>
      </w:tblGrid>
      <w:tr w14:paraId="0EB45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Align w:val="top"/>
          </w:tcPr>
          <w:p w14:paraId="2696152A">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评审因素</w:t>
            </w:r>
          </w:p>
        </w:tc>
        <w:tc>
          <w:tcPr>
            <w:tcW w:w="8564" w:type="dxa"/>
            <w:gridSpan w:val="2"/>
            <w:vAlign w:val="center"/>
          </w:tcPr>
          <w:p w14:paraId="5F487333">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评审标准</w:t>
            </w:r>
          </w:p>
        </w:tc>
      </w:tr>
      <w:tr w14:paraId="6AA4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Align w:val="top"/>
          </w:tcPr>
          <w:p w14:paraId="40BA021F">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分值构成</w:t>
            </w:r>
          </w:p>
        </w:tc>
        <w:tc>
          <w:tcPr>
            <w:tcW w:w="8564" w:type="dxa"/>
            <w:gridSpan w:val="2"/>
            <w:vAlign w:val="center"/>
          </w:tcPr>
          <w:p w14:paraId="34E05F40">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商务部分</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分</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技术部分5</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rPr>
              <w:t>分</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报价得分30分</w:t>
            </w:r>
          </w:p>
        </w:tc>
      </w:tr>
      <w:tr w14:paraId="770AD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restart"/>
            <w:vAlign w:val="center"/>
          </w:tcPr>
          <w:p w14:paraId="6BC638E1">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技术部分</w:t>
            </w:r>
          </w:p>
        </w:tc>
        <w:tc>
          <w:tcPr>
            <w:tcW w:w="2017" w:type="dxa"/>
            <w:vAlign w:val="center"/>
          </w:tcPr>
          <w:p w14:paraId="4CF08EF3">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产品的技术条款响应情况 (</w:t>
            </w:r>
            <w:r>
              <w:rPr>
                <w:rFonts w:hint="eastAsia" w:ascii="宋体" w:hAnsi="宋体" w:eastAsia="宋体" w:cs="宋体"/>
                <w:kern w:val="2"/>
                <w:sz w:val="24"/>
                <w:szCs w:val="24"/>
                <w:lang w:val="en-US" w:eastAsia="zh-CN"/>
              </w:rPr>
              <w:t>27</w:t>
            </w:r>
            <w:r>
              <w:rPr>
                <w:rFonts w:hint="eastAsia" w:ascii="宋体" w:hAnsi="宋体" w:eastAsia="宋体" w:cs="宋体"/>
                <w:kern w:val="2"/>
                <w:sz w:val="24"/>
                <w:szCs w:val="24"/>
              </w:rPr>
              <w:t>分)</w:t>
            </w:r>
          </w:p>
        </w:tc>
        <w:tc>
          <w:tcPr>
            <w:tcW w:w="6547" w:type="dxa"/>
            <w:vAlign w:val="top"/>
          </w:tcPr>
          <w:p w14:paraId="7A5D272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根据投标人所投报产品的技术条款对招标文件采购需求“技术标准与要求”的响应情况进行评审。 1、所投报产品技术条款完全满足招标文件采购需求“技术标准与要求”中带“▲”的参数要求（</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项），每项得3分；不满足或未响应招标文件要求的不得分。最高得1</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72756995">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 2、所投报产品技术条款完全满足招标文件采购需求“技术标准与要求”中非带“▲”的参数要求（1</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项），每项得得1分，最高得1</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分。若有任意一种不满足或未响应招标文件要求的不得分。 3、本项最高得分为</w:t>
            </w:r>
            <w:r>
              <w:rPr>
                <w:rFonts w:hint="eastAsia" w:ascii="宋体" w:hAnsi="宋体" w:eastAsia="宋体" w:cs="宋体"/>
                <w:kern w:val="2"/>
                <w:sz w:val="24"/>
                <w:szCs w:val="24"/>
                <w:lang w:val="en-US" w:eastAsia="zh-CN"/>
              </w:rPr>
              <w:t>27</w:t>
            </w:r>
            <w:r>
              <w:rPr>
                <w:rFonts w:hint="eastAsia" w:ascii="宋体" w:hAnsi="宋体" w:eastAsia="宋体" w:cs="宋体"/>
                <w:kern w:val="2"/>
                <w:sz w:val="24"/>
                <w:szCs w:val="24"/>
              </w:rPr>
              <w:t>分。</w:t>
            </w:r>
          </w:p>
        </w:tc>
      </w:tr>
      <w:tr w14:paraId="58BE3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2538AF0E">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6CDD4FA4">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货物安全质量保障方案 (</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分)，（等次分值选择：0;2;5;</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w:t>
            </w:r>
          </w:p>
        </w:tc>
        <w:tc>
          <w:tcPr>
            <w:tcW w:w="6547" w:type="dxa"/>
            <w:vAlign w:val="top"/>
          </w:tcPr>
          <w:p w14:paraId="44E60339">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货物安全质量保障方案（内容包括：①货物制作及生产方案、②货物（含材料）选型、③质量及安全标准、④质量及安全保障措施）进行评审。所提供的货物安全质量保障方案应具针对性、条理清晰，内容明确具体、合理可行，货物（含材料）选型合理、可靠、耐用。 1、货物安全质量保障方案完全满足且优于采购需求的，得</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 2、货物安全质量保障方案完全满足采购需求的，得5分； 3、货物安全质量保障方案部分满足采购需求的，得2分； 4、未提供货物安全质量保障方案的不得分。</w:t>
            </w:r>
          </w:p>
        </w:tc>
      </w:tr>
      <w:tr w14:paraId="584B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15624615">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26A5CE3D">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安装调试方案 (</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分)，（等次分值选择：0;</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w:t>
            </w:r>
          </w:p>
        </w:tc>
        <w:tc>
          <w:tcPr>
            <w:tcW w:w="6547" w:type="dxa"/>
            <w:vAlign w:val="top"/>
          </w:tcPr>
          <w:p w14:paraId="1C4F574C">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安装调试方案（内容包括：①安装调试方案、②安装调试技术重点难点分析及应对措施、③安装人员安排计划）进行评审。所提供的安装调试方案应具针对性、条理清晰，内容明确具体、合理可行。 1、安装调试方案完全满足且优于采购需求的，得</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 2、安装调试方案完全满足采购需求的，得</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 3、安装调试方案部分满足采购需求的，得</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分； 4、未提供安装调试方案的不得分。</w:t>
            </w:r>
          </w:p>
        </w:tc>
      </w:tr>
      <w:tr w14:paraId="698DB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695C7E36">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30B54228">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供货进度计划和保障措施 (</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分)，（等次分值选择：0;</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w:t>
            </w:r>
          </w:p>
        </w:tc>
        <w:tc>
          <w:tcPr>
            <w:tcW w:w="6547" w:type="dxa"/>
            <w:vAlign w:val="top"/>
          </w:tcPr>
          <w:p w14:paraId="6AD0B17F">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供货进度计划和保障措施（内容包括：①供货进度计划、②供货进度保障措施、③供货人员及车辆安排计划）进行评审。所提供的供货进度计划和保障措施应具针对性、条理清晰，内容明确具体、合理可行。 1、供货进度计划和保障措施完全满足且优于采购需求的，得</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分； 2、供货进度计划和保障措施完全满足采购需求的，得4分； 3、供货进度计划和保障措施部分满足采购需求的，得</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分； 4、未提供货物供货方案的不得分。</w:t>
            </w:r>
          </w:p>
        </w:tc>
      </w:tr>
      <w:tr w14:paraId="68FA9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restart"/>
            <w:vAlign w:val="center"/>
          </w:tcPr>
          <w:p w14:paraId="24D8D5C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商务部分</w:t>
            </w:r>
          </w:p>
        </w:tc>
        <w:tc>
          <w:tcPr>
            <w:tcW w:w="2017" w:type="dxa"/>
            <w:vAlign w:val="center"/>
          </w:tcPr>
          <w:p w14:paraId="510FCD65">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同类项目业绩 (</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分)，（等次分值选择：0;3;</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w:t>
            </w:r>
          </w:p>
        </w:tc>
        <w:tc>
          <w:tcPr>
            <w:tcW w:w="6547" w:type="dxa"/>
            <w:vAlign w:val="top"/>
          </w:tcPr>
          <w:p w14:paraId="586A4F9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投标人2021年1月1日至今（以合同签订日期为准）具有家具类项目业绩的，每项得3分，未提供的不得分。本项最高得分为</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分。 注：需在投标文件中提供项目合同关键页（须体现出签订合同双方的单位名称、签订合同双方的落款盖章、签订日期、项目主要内容等的关键页）复印件，并加盖投标人单位公章，否则不得分。</w:t>
            </w:r>
          </w:p>
        </w:tc>
      </w:tr>
      <w:tr w14:paraId="17883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7BFA7054">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64C789B8">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售后服务方案 (</w:t>
            </w: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分)，（等次分值选择：0;2;</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w:t>
            </w:r>
          </w:p>
        </w:tc>
        <w:tc>
          <w:tcPr>
            <w:tcW w:w="6547" w:type="dxa"/>
            <w:vAlign w:val="top"/>
          </w:tcPr>
          <w:p w14:paraId="31DEFF64">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售后服务方案（内容包括：①质量保证期（或保修期）响应情况；②维修响应时间承诺；③售后服务人员安排计划；④应急维修措施）进行评审。所提供的售后服务方案应具针对性、条理清晰，内容明确具体、合理可行。 1、售后服务方案完全满足且优于采购需求的，得</w:t>
            </w: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分； 2、售后服务方案完全满足采购需求的，得</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 3、售后服务方案部分满足采购需求的，得2分； 4、未提供售后服务方案的不得分。</w:t>
            </w:r>
          </w:p>
        </w:tc>
      </w:tr>
      <w:tr w14:paraId="0AA2F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Align w:val="center"/>
          </w:tcPr>
          <w:p w14:paraId="030AEC21">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w:t>
            </w:r>
          </w:p>
        </w:tc>
        <w:tc>
          <w:tcPr>
            <w:tcW w:w="2017" w:type="dxa"/>
            <w:vAlign w:val="center"/>
          </w:tcPr>
          <w:p w14:paraId="0D99407D">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投标报价得分 (30分)</w:t>
            </w:r>
          </w:p>
        </w:tc>
        <w:tc>
          <w:tcPr>
            <w:tcW w:w="6547" w:type="dxa"/>
            <w:vAlign w:val="top"/>
          </w:tcPr>
          <w:p w14:paraId="4E27BC8F">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0D71C954">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p>
    <w:p w14:paraId="7FE7F87F">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color w:val="000000"/>
          <w:sz w:val="24"/>
          <w:szCs w:val="24"/>
        </w:rPr>
        <w:t>4.5遴选结果：</w:t>
      </w:r>
      <w:r>
        <w:rPr>
          <w:rFonts w:hint="eastAsia" w:ascii="宋体" w:hAnsi="宋体" w:eastAsia="宋体" w:cs="宋体"/>
          <w:sz w:val="24"/>
          <w:szCs w:val="24"/>
        </w:rPr>
        <w:t>开平市中心医院官网公示</w:t>
      </w:r>
    </w:p>
    <w:p w14:paraId="479ADBFB">
      <w:pPr>
        <w:pStyle w:val="227"/>
        <w:pageBreakBefore w:val="0"/>
        <w:wordWrap/>
        <w:overflowPunct/>
        <w:topLinePunct w:val="0"/>
        <w:bidi w:val="0"/>
        <w:spacing w:line="520" w:lineRule="exact"/>
        <w:ind w:left="0" w:right="0" w:firstLine="482" w:firstLineChars="200"/>
        <w:rPr>
          <w:rFonts w:hint="eastAsia" w:ascii="宋体" w:hAnsi="宋体" w:eastAsia="宋体" w:cs="宋体"/>
          <w:sz w:val="24"/>
          <w:szCs w:val="24"/>
        </w:rPr>
      </w:pPr>
      <w:r>
        <w:rPr>
          <w:rFonts w:hint="eastAsia" w:ascii="宋体" w:hAnsi="宋体" w:eastAsia="宋体" w:cs="宋体"/>
          <w:b/>
          <w:bCs/>
          <w:sz w:val="24"/>
          <w:szCs w:val="24"/>
        </w:rPr>
        <w:t>5.本次遴选相关事宜联系：</w:t>
      </w:r>
    </w:p>
    <w:p w14:paraId="7DCAD9CD">
      <w:pPr>
        <w:pageBreakBefore w:val="0"/>
        <w:wordWrap/>
        <w:overflowPunct/>
        <w:topLinePunct w:val="0"/>
        <w:bidi w:val="0"/>
        <w:spacing w:line="520" w:lineRule="exact"/>
        <w:ind w:left="0" w:right="0"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项目联系人：龚小姐，电话：</w:t>
      </w:r>
      <w:r>
        <w:rPr>
          <w:rFonts w:hint="eastAsia" w:ascii="宋体" w:hAnsi="宋体" w:eastAsia="宋体" w:cs="宋体"/>
          <w:color w:val="000000"/>
          <w:sz w:val="24"/>
          <w:szCs w:val="24"/>
          <w:lang w:val="en-US" w:eastAsia="zh-CN"/>
        </w:rPr>
        <w:t>0750-2371848</w:t>
      </w:r>
    </w:p>
    <w:p w14:paraId="3E7CB4C7">
      <w:pPr>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Cs/>
          <w:sz w:val="24"/>
        </w:rPr>
      </w:pPr>
      <w:r>
        <w:rPr>
          <w:rFonts w:hint="eastAsia" w:ascii="宋体" w:hAnsi="宋体" w:eastAsia="宋体" w:cs="宋体"/>
          <w:b/>
          <w:bCs/>
          <w:sz w:val="24"/>
          <w:szCs w:val="24"/>
        </w:rPr>
        <w:t>6.报名须知</w:t>
      </w:r>
    </w:p>
    <w:p w14:paraId="07C6E4B9">
      <w:pPr>
        <w:pStyle w:val="227"/>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6.1 本次遴选项目接受现场资料递交或邮寄。</w:t>
      </w:r>
    </w:p>
    <w:p w14:paraId="35226334">
      <w:pPr>
        <w:pStyle w:val="227"/>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6.2 违反《遴选响应承诺函》内容的单位及授权人视为失信人，失信人将列为黑名单，取消其响应开平市中心医院</w:t>
      </w:r>
      <w:r>
        <w:rPr>
          <w:rFonts w:hint="eastAsia" w:ascii="宋体" w:hAnsi="宋体" w:eastAsia="宋体" w:cs="宋体"/>
          <w:sz w:val="24"/>
          <w:szCs w:val="24"/>
          <w:lang w:val="en-US" w:eastAsia="zh-CN"/>
        </w:rPr>
        <w:t>所有遴选项目</w:t>
      </w:r>
      <w:r>
        <w:rPr>
          <w:rFonts w:hint="eastAsia" w:ascii="宋体" w:hAnsi="宋体" w:eastAsia="宋体" w:cs="宋体"/>
          <w:sz w:val="24"/>
          <w:szCs w:val="24"/>
        </w:rPr>
        <w:t>的资格。</w:t>
      </w:r>
    </w:p>
    <w:p w14:paraId="1DFDFFF6">
      <w:pPr>
        <w:pStyle w:val="227"/>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6.3其他视为失信人的情况：</w:t>
      </w:r>
    </w:p>
    <w:p w14:paraId="125523A3">
      <w:pPr>
        <w:pStyle w:val="227"/>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（1）无故不参与响应或未按时响应的三次及以上；</w:t>
      </w:r>
    </w:p>
    <w:p w14:paraId="2102CF56">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（2）撤销遴选响应未在遴选响应截止前24小时内以书面形式通知遴选人三次及以上的；</w:t>
      </w:r>
    </w:p>
    <w:p w14:paraId="3662826E">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（3）遴选响应文件出现严重错误给遴选工作带来影响三次及以上的。</w:t>
      </w:r>
    </w:p>
    <w:p w14:paraId="0CA83EA8">
      <w:pPr>
        <w:pStyle w:val="227"/>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6.4 报名不足3家供应商时，将依据《开平市中心医院采购管理办法》调整采购方式。</w:t>
      </w:r>
    </w:p>
    <w:p w14:paraId="7BB82D09">
      <w:pPr>
        <w:pageBreakBefore w:val="0"/>
        <w:wordWrap/>
        <w:overflowPunct/>
        <w:topLinePunct w:val="0"/>
        <w:bidi w:val="0"/>
        <w:spacing w:line="520" w:lineRule="exact"/>
        <w:ind w:left="0" w:right="0"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7.注意事项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7A38E2E1">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7.1超过遴选产品最高限价按响应无效处理。</w:t>
      </w:r>
    </w:p>
    <w:p w14:paraId="1F9230D4">
      <w:pPr>
        <w:pageBreakBefore w:val="0"/>
        <w:wordWrap/>
        <w:overflowPunct/>
        <w:topLinePunct w:val="0"/>
        <w:bidi w:val="0"/>
        <w:spacing w:line="520" w:lineRule="exact"/>
        <w:ind w:left="0" w:right="0" w:firstLine="480" w:firstLineChars="200"/>
        <w:rPr>
          <w:rFonts w:hint="eastAsia" w:ascii="宋体" w:hAnsi="宋体" w:eastAsia="宋体" w:cs="宋体"/>
          <w:bCs/>
          <w:sz w:val="24"/>
          <w:szCs w:val="24"/>
        </w:rPr>
      </w:pPr>
      <w:r>
        <w:rPr>
          <w:rFonts w:hint="eastAsia" w:ascii="宋体" w:hAnsi="宋体" w:eastAsia="宋体" w:cs="宋体"/>
          <w:bCs/>
          <w:sz w:val="24"/>
          <w:szCs w:val="24"/>
        </w:rPr>
        <w:t>7.2遴选响应产品不满足实质性需求的按响应无效处理。</w:t>
      </w:r>
    </w:p>
    <w:p w14:paraId="2190BF5A">
      <w:pPr>
        <w:pStyle w:val="2"/>
        <w:pageBreakBefore w:val="0"/>
        <w:wordWrap/>
        <w:overflowPunct/>
        <w:topLinePunct w:val="0"/>
        <w:bidi w:val="0"/>
        <w:spacing w:line="520" w:lineRule="exact"/>
        <w:ind w:left="0" w:right="0"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 xml:space="preserve">7.3 </w:t>
      </w:r>
      <w:r>
        <w:rPr>
          <w:rFonts w:hint="eastAsia" w:ascii="宋体" w:hAnsi="宋体" w:eastAsia="宋体" w:cs="宋体"/>
          <w:sz w:val="24"/>
          <w:szCs w:val="24"/>
        </w:rPr>
        <w:t>★标识的为核心参数，如不满足则视为无效投标</w:t>
      </w:r>
      <w:r>
        <w:rPr>
          <w:rFonts w:hint="eastAsia" w:ascii="宋体" w:hAnsi="宋体" w:eastAsia="宋体" w:cs="宋体"/>
          <w:sz w:val="24"/>
          <w:szCs w:val="24"/>
          <w:lang w:eastAsia="zh-CN"/>
        </w:rPr>
        <w:t>。</w:t>
      </w:r>
    </w:p>
    <w:p w14:paraId="1E417C26">
      <w:pPr>
        <w:pageBreakBefore w:val="0"/>
        <w:wordWrap/>
        <w:overflowPunct/>
        <w:topLinePunct w:val="0"/>
        <w:bidi w:val="0"/>
        <w:spacing w:line="520" w:lineRule="exact"/>
        <w:ind w:left="0" w:right="0" w:firstLine="482" w:firstLineChars="200"/>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b/>
          <w:bCs/>
          <w:sz w:val="24"/>
          <w:szCs w:val="24"/>
        </w:rPr>
        <w:t>.</w:t>
      </w:r>
      <w:r>
        <w:rPr>
          <w:rFonts w:hint="eastAsia" w:ascii="宋体" w:hAnsi="宋体" w:eastAsia="宋体" w:cs="宋体"/>
          <w:b/>
          <w:sz w:val="24"/>
          <w:szCs w:val="24"/>
        </w:rPr>
        <w:t>遴选响应文件的制作、装订、密封、标记</w:t>
      </w:r>
    </w:p>
    <w:p w14:paraId="2AC5302B">
      <w:pPr>
        <w:pageBreakBefore w:val="0"/>
        <w:wordWrap/>
        <w:overflowPunct/>
        <w:topLinePunct w:val="0"/>
        <w:bidi w:val="0"/>
        <w:spacing w:line="520" w:lineRule="exact"/>
        <w:ind w:left="0" w:right="0" w:firstLine="480" w:firstLineChars="200"/>
        <w:rPr>
          <w:rFonts w:hint="eastAsia" w:ascii="宋体" w:hAnsi="宋体" w:eastAsia="宋体" w:cs="宋体"/>
          <w:color w:val="FF0000"/>
          <w:sz w:val="24"/>
          <w:szCs w:val="24"/>
        </w:rPr>
      </w:pPr>
      <w:r>
        <w:rPr>
          <w:rFonts w:hint="eastAsia" w:ascii="宋体" w:hAnsi="宋体" w:eastAsia="宋体" w:cs="宋体"/>
          <w:sz w:val="24"/>
          <w:szCs w:val="24"/>
        </w:rPr>
        <w:t>8.1 遴选响应文件必须左侧胶装，不接受其他装订方式</w:t>
      </w:r>
      <w:r>
        <w:rPr>
          <w:rFonts w:hint="eastAsia" w:ascii="宋体" w:hAnsi="宋体" w:eastAsia="宋体" w:cs="宋体"/>
          <w:color w:val="000000"/>
          <w:sz w:val="24"/>
          <w:szCs w:val="24"/>
        </w:rPr>
        <w:t>。</w:t>
      </w:r>
    </w:p>
    <w:p w14:paraId="13CD527D">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8.2 遴选响应文件份数：</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二</w:t>
      </w:r>
      <w:r>
        <w:rPr>
          <w:rFonts w:hint="eastAsia" w:ascii="宋体" w:hAnsi="宋体" w:eastAsia="宋体" w:cs="宋体"/>
          <w:b/>
          <w:sz w:val="24"/>
          <w:szCs w:val="24"/>
        </w:rPr>
        <w:t>副</w:t>
      </w:r>
      <w:r>
        <w:rPr>
          <w:rFonts w:hint="eastAsia" w:ascii="宋体" w:hAnsi="宋体" w:eastAsia="宋体" w:cs="宋体"/>
          <w:sz w:val="24"/>
          <w:szCs w:val="24"/>
        </w:rPr>
        <w:t>，并在遴选响应文件右上角处明显标注“正本或副本”字样。</w:t>
      </w:r>
    </w:p>
    <w:p w14:paraId="1F5A7F9F">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8.3将遴选响应文件中所需的文件按照顺序进行装订，副本可为正本复印件。</w:t>
      </w:r>
    </w:p>
    <w:p w14:paraId="0C489CA2">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8.4 正本单独密封，所有副本可一起密封，所有密封封皮上注明产品名称及遴选响应人名称，并加盖骑缝章。</w:t>
      </w:r>
    </w:p>
    <w:p w14:paraId="3C378293">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8.5 以上所需文件正本均需逐页加盖遴选响应人公章（红章），副本可为正本复印件,封面须盖公章。</w:t>
      </w:r>
    </w:p>
    <w:p w14:paraId="2ECFBBF4">
      <w:pPr>
        <w:pageBreakBefore w:val="0"/>
        <w:wordWrap/>
        <w:overflowPunct/>
        <w:topLinePunct w:val="0"/>
        <w:bidi w:val="0"/>
        <w:spacing w:line="52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8.6 所有密封口处均应用封条密封并加盖遴选响应人公章和法定代表人或其委托代理人印章或签字。</w:t>
      </w:r>
    </w:p>
    <w:p w14:paraId="66EF3A4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备注：遴选响应文件中的格式文件，请遴选响应人必须按照遴选文件提供的格式文件进行提供，不得进行修改、涂抹、删除等，否则将按响应无效处理。</w:t>
      </w:r>
    </w:p>
    <w:p w14:paraId="19E777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bookmarkEnd w:id="24"/>
    <w:bookmarkEnd w:id="25"/>
    <w:bookmarkEnd w:id="26"/>
    <w:bookmarkEnd w:id="27"/>
    <w:bookmarkEnd w:id="28"/>
    <w:bookmarkEnd w:id="29"/>
    <w:p w14:paraId="7F259326">
      <w:pPr>
        <w:pStyle w:val="2"/>
        <w:spacing w:line="360" w:lineRule="auto"/>
        <w:ind w:firstLine="480" w:firstLineChars="200"/>
        <w:rPr>
          <w:rFonts w:hint="eastAsia" w:ascii="宋体" w:hAnsi="宋体" w:eastAsia="宋体" w:cs="宋体"/>
          <w:bCs/>
          <w:sz w:val="24"/>
        </w:rPr>
      </w:pPr>
    </w:p>
    <w:p w14:paraId="46F9E0A9">
      <w:pPr>
        <w:rPr>
          <w:rFonts w:hint="eastAsia"/>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p>
    <w:p w14:paraId="4E830B66">
      <w:pPr>
        <w:spacing w:line="360" w:lineRule="auto"/>
        <w:ind w:left="160"/>
        <w:jc w:val="right"/>
        <w:rPr>
          <w:rFonts w:ascii="Times New Roman"/>
          <w:sz w:val="36"/>
          <w:szCs w:val="28"/>
        </w:rPr>
      </w:pPr>
      <w:r>
        <w:br w:type="page"/>
      </w:r>
      <w:bookmarkEnd w:id="11"/>
      <w:bookmarkEnd w:id="12"/>
      <w:bookmarkEnd w:id="13"/>
      <w:bookmarkEnd w:id="14"/>
      <w:bookmarkEnd w:id="15"/>
      <w:bookmarkEnd w:id="16"/>
      <w:bookmarkEnd w:id="17"/>
      <w:bookmarkEnd w:id="18"/>
      <w:bookmarkEnd w:id="19"/>
      <w:bookmarkStart w:id="34" w:name="_Toc51756452"/>
      <w:bookmarkStart w:id="35" w:name="_Toc52021499"/>
      <w:bookmarkStart w:id="36" w:name="_Toc51939417"/>
      <w:bookmarkStart w:id="37" w:name="_Toc52027886"/>
      <w:bookmarkStart w:id="38" w:name="_Toc56352971"/>
      <w:bookmarkStart w:id="39" w:name="_Toc476976155"/>
      <w:bookmarkStart w:id="40" w:name="_Toc467236723"/>
      <w:bookmarkStart w:id="41" w:name="_Toc169861813"/>
      <w:bookmarkStart w:id="42" w:name="_Toc458262598"/>
      <w:bookmarkStart w:id="43" w:name="_Toc486671527"/>
    </w:p>
    <w:p w14:paraId="53445917">
      <w:pPr>
        <w:pStyle w:val="3"/>
        <w:keepNext w:val="0"/>
        <w:keepLines w:val="0"/>
        <w:spacing w:before="0" w:after="0" w:line="360" w:lineRule="auto"/>
        <w:jc w:val="center"/>
        <w:rPr>
          <w:rFonts w:ascii="Times New Roman"/>
          <w:sz w:val="36"/>
          <w:szCs w:val="28"/>
        </w:rPr>
      </w:pPr>
      <w:r>
        <w:rPr>
          <w:rFonts w:ascii="Times New Roman"/>
          <w:sz w:val="36"/>
          <w:szCs w:val="28"/>
        </w:rPr>
        <w:t>第</w:t>
      </w:r>
      <w:r>
        <w:rPr>
          <w:rFonts w:hint="eastAsia" w:ascii="Times New Roman"/>
          <w:sz w:val="36"/>
          <w:szCs w:val="28"/>
          <w:lang w:val="en-US" w:eastAsia="zh-CN"/>
        </w:rPr>
        <w:t>二</w:t>
      </w:r>
      <w:r>
        <w:rPr>
          <w:rFonts w:ascii="Times New Roman"/>
          <w:sz w:val="36"/>
          <w:szCs w:val="28"/>
        </w:rPr>
        <w:t>部分</w:t>
      </w:r>
      <w:bookmarkEnd w:id="34"/>
      <w:bookmarkEnd w:id="35"/>
      <w:bookmarkEnd w:id="36"/>
      <w:bookmarkEnd w:id="37"/>
      <w:bookmarkEnd w:id="38"/>
      <w:r>
        <w:rPr>
          <w:rFonts w:ascii="Times New Roman"/>
          <w:sz w:val="36"/>
          <w:szCs w:val="28"/>
        </w:rPr>
        <w:t xml:space="preserve">  供应商须知</w:t>
      </w:r>
      <w:bookmarkEnd w:id="39"/>
      <w:bookmarkEnd w:id="40"/>
      <w:bookmarkEnd w:id="41"/>
      <w:bookmarkEnd w:id="42"/>
      <w:bookmarkEnd w:id="43"/>
    </w:p>
    <w:p w14:paraId="114CF083">
      <w:pPr>
        <w:pStyle w:val="4"/>
        <w:keepNext w:val="0"/>
        <w:keepLines w:val="0"/>
        <w:spacing w:before="120" w:beforeLines="50" w:after="0" w:line="360" w:lineRule="auto"/>
        <w:jc w:val="center"/>
        <w:rPr>
          <w:rFonts w:ascii="Times New Roman" w:hAnsi="Times New Roman" w:eastAsia="宋体"/>
          <w:sz w:val="24"/>
          <w:szCs w:val="21"/>
        </w:rPr>
      </w:pPr>
      <w:bookmarkStart w:id="44" w:name="_Toc102277756"/>
      <w:bookmarkStart w:id="45" w:name="_Toc6968687"/>
      <w:bookmarkStart w:id="46" w:name="_Toc6882675"/>
      <w:bookmarkStart w:id="47" w:name="_Toc507407359"/>
      <w:bookmarkStart w:id="48" w:name="_Toc466786434"/>
      <w:bookmarkStart w:id="49" w:name="_Toc169861814"/>
      <w:bookmarkStart w:id="50" w:name="_Toc458262599"/>
      <w:bookmarkStart w:id="51" w:name="_Toc480010692"/>
      <w:bookmarkStart w:id="52" w:name="_Toc479991566"/>
      <w:bookmarkStart w:id="53" w:name="_Toc467236724"/>
      <w:bookmarkStart w:id="54" w:name="_Toc48207756"/>
      <w:bookmarkStart w:id="55" w:name="_Toc468157520"/>
      <w:bookmarkStart w:id="56" w:name="_Toc468606013"/>
      <w:bookmarkStart w:id="57" w:name="_Toc480171863"/>
      <w:bookmarkStart w:id="58" w:name="_Toc467987807"/>
      <w:bookmarkStart w:id="59" w:name="_Toc480021037"/>
      <w:bookmarkStart w:id="60" w:name="_Toc480020241"/>
      <w:r>
        <w:rPr>
          <w:rFonts w:ascii="Times New Roman" w:hAnsi="Times New Roman" w:eastAsia="宋体"/>
          <w:sz w:val="24"/>
          <w:szCs w:val="21"/>
        </w:rPr>
        <w:t>一、说  明</w:t>
      </w:r>
      <w:bookmarkEnd w:id="44"/>
      <w:bookmarkEnd w:id="45"/>
      <w:bookmarkEnd w:id="46"/>
      <w:bookmarkEnd w:id="47"/>
      <w:bookmarkEnd w:id="48"/>
      <w:bookmarkEnd w:id="49"/>
    </w:p>
    <w:p w14:paraId="009F87BD">
      <w:pPr>
        <w:pStyle w:val="6"/>
        <w:keepNext w:val="0"/>
        <w:keepLines w:val="0"/>
        <w:adjustRightInd/>
        <w:spacing w:before="0" w:after="0" w:line="360" w:lineRule="auto"/>
        <w:ind w:firstLine="482" w:firstLineChars="200"/>
        <w:rPr>
          <w:rFonts w:ascii="Times New Roman"/>
          <w:b w:val="0"/>
          <w:sz w:val="24"/>
          <w:szCs w:val="21"/>
        </w:rPr>
      </w:pPr>
      <w:bookmarkStart w:id="61" w:name="_Toc475249114"/>
      <w:r>
        <w:rPr>
          <w:rFonts w:ascii="Times New Roman"/>
          <w:sz w:val="24"/>
          <w:szCs w:val="21"/>
        </w:rPr>
        <w:t>1.适用范围</w:t>
      </w:r>
      <w:bookmarkEnd w:id="61"/>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6"/>
        <w:keepNext w:val="0"/>
        <w:keepLines w:val="0"/>
        <w:adjustRightInd/>
        <w:spacing w:before="0" w:after="0" w:line="360" w:lineRule="auto"/>
        <w:ind w:firstLine="482" w:firstLineChars="200"/>
        <w:rPr>
          <w:rFonts w:ascii="Times New Roman"/>
          <w:b w:val="0"/>
          <w:sz w:val="24"/>
          <w:szCs w:val="21"/>
        </w:rPr>
      </w:pPr>
      <w:bookmarkStart w:id="62" w:name="_Toc475249115"/>
      <w:r>
        <w:rPr>
          <w:rFonts w:ascii="Times New Roman"/>
          <w:sz w:val="24"/>
          <w:szCs w:val="21"/>
        </w:rPr>
        <w:t>2.定义</w:t>
      </w:r>
      <w:bookmarkEnd w:id="62"/>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6"/>
        <w:keepNext w:val="0"/>
        <w:keepLines w:val="0"/>
        <w:adjustRightInd/>
        <w:spacing w:before="0" w:after="0" w:line="360" w:lineRule="auto"/>
        <w:ind w:firstLine="482" w:firstLineChars="200"/>
        <w:rPr>
          <w:rFonts w:ascii="Times New Roman"/>
          <w:sz w:val="24"/>
          <w:szCs w:val="21"/>
        </w:rPr>
      </w:pPr>
      <w:bookmarkStart w:id="63" w:name="_Toc110953831"/>
      <w:bookmarkStart w:id="64" w:name="_Toc466786435"/>
      <w:bookmarkStart w:id="65" w:name="_Toc6968688"/>
      <w:bookmarkStart w:id="66" w:name="_Toc6882676"/>
      <w:bookmarkStart w:id="67" w:name="_Toc507407360"/>
      <w:bookmarkStart w:id="68" w:name="_Toc102277757"/>
      <w:r>
        <w:rPr>
          <w:rFonts w:ascii="Times New Roman"/>
          <w:sz w:val="24"/>
          <w:szCs w:val="21"/>
        </w:rPr>
        <w:t>3.适用法律</w:t>
      </w:r>
      <w:bookmarkEnd w:id="63"/>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6"/>
        <w:keepNext w:val="0"/>
        <w:keepLines w:val="0"/>
        <w:adjustRightInd/>
        <w:spacing w:before="0" w:after="0" w:line="360" w:lineRule="auto"/>
        <w:ind w:firstLine="482" w:firstLineChars="200"/>
        <w:rPr>
          <w:rFonts w:ascii="Times New Roman"/>
          <w:b w:val="0"/>
          <w:sz w:val="24"/>
          <w:szCs w:val="21"/>
        </w:rPr>
      </w:pPr>
      <w:bookmarkStart w:id="69" w:name="_Toc110953832"/>
      <w:r>
        <w:rPr>
          <w:rFonts w:ascii="Times New Roman"/>
          <w:sz w:val="24"/>
          <w:szCs w:val="21"/>
        </w:rPr>
        <w:t>4.知识产权</w:t>
      </w:r>
      <w:bookmarkEnd w:id="69"/>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6"/>
        <w:keepNext w:val="0"/>
        <w:keepLines w:val="0"/>
        <w:adjustRightInd/>
        <w:spacing w:before="0" w:after="0" w:line="360" w:lineRule="auto"/>
        <w:ind w:firstLine="482" w:firstLineChars="200"/>
        <w:rPr>
          <w:rFonts w:ascii="Times New Roman"/>
          <w:b w:val="0"/>
          <w:bCs/>
          <w:sz w:val="24"/>
          <w:szCs w:val="21"/>
        </w:rPr>
      </w:pPr>
      <w:bookmarkStart w:id="70" w:name="_Toc110953833"/>
      <w:r>
        <w:rPr>
          <w:rFonts w:ascii="Times New Roman"/>
          <w:sz w:val="24"/>
          <w:szCs w:val="21"/>
        </w:rPr>
        <w:t>5.禁止事项</w:t>
      </w:r>
      <w:bookmarkEnd w:id="70"/>
    </w:p>
    <w:p w14:paraId="26A3EC24">
      <w:pPr>
        <w:spacing w:line="360" w:lineRule="auto"/>
        <w:ind w:firstLine="480" w:firstLineChars="200"/>
        <w:rPr>
          <w:rFonts w:eastAsia="宋体"/>
          <w:sz w:val="24"/>
          <w:szCs w:val="21"/>
        </w:rPr>
      </w:pPr>
      <w:bookmarkStart w:id="71" w:name="_Toc98126293"/>
      <w:bookmarkStart w:id="72" w:name="_Toc98126218"/>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71"/>
      <w:bookmarkEnd w:id="72"/>
    </w:p>
    <w:p w14:paraId="58FCBE74">
      <w:pPr>
        <w:spacing w:line="360" w:lineRule="auto"/>
        <w:ind w:firstLine="480" w:firstLineChars="200"/>
        <w:rPr>
          <w:rFonts w:eastAsia="宋体"/>
          <w:sz w:val="24"/>
          <w:szCs w:val="21"/>
        </w:rPr>
      </w:pPr>
      <w:bookmarkStart w:id="73" w:name="_Toc98126219"/>
      <w:bookmarkStart w:id="74" w:name="_Toc98126294"/>
      <w:r>
        <w:rPr>
          <w:rFonts w:eastAsia="宋体"/>
          <w:sz w:val="24"/>
          <w:szCs w:val="21"/>
        </w:rPr>
        <w:t>5.</w:t>
      </w:r>
      <w:bookmarkEnd w:id="73"/>
      <w:bookmarkEnd w:id="74"/>
      <w:bookmarkStart w:id="75" w:name="_Toc98126220"/>
      <w:bookmarkStart w:id="76" w:name="_Toc98126295"/>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75"/>
      <w:bookmarkEnd w:id="76"/>
    </w:p>
    <w:p w14:paraId="78731B5B">
      <w:pPr>
        <w:pStyle w:val="6"/>
        <w:keepNext w:val="0"/>
        <w:keepLines w:val="0"/>
        <w:adjustRightInd/>
        <w:spacing w:before="0" w:after="0" w:line="360" w:lineRule="auto"/>
        <w:ind w:firstLine="482" w:firstLineChars="200"/>
        <w:rPr>
          <w:rFonts w:ascii="Times New Roman"/>
          <w:b w:val="0"/>
          <w:bCs/>
          <w:sz w:val="24"/>
          <w:szCs w:val="21"/>
        </w:rPr>
      </w:pPr>
      <w:bookmarkStart w:id="77" w:name="_Toc110953834"/>
      <w:r>
        <w:rPr>
          <w:rFonts w:ascii="Times New Roman"/>
          <w:sz w:val="24"/>
          <w:szCs w:val="21"/>
        </w:rPr>
        <w:t>6.保密及其它注意事项</w:t>
      </w:r>
      <w:bookmarkEnd w:id="77"/>
    </w:p>
    <w:p w14:paraId="5F90EB83">
      <w:pPr>
        <w:spacing w:line="360" w:lineRule="auto"/>
        <w:ind w:firstLine="480" w:firstLineChars="200"/>
        <w:rPr>
          <w:rFonts w:eastAsia="宋体"/>
          <w:sz w:val="24"/>
          <w:szCs w:val="21"/>
        </w:rPr>
      </w:pPr>
      <w:bookmarkStart w:id="78" w:name="_Toc98126222"/>
      <w:bookmarkStart w:id="79" w:name="_Toc98126297"/>
      <w:r>
        <w:rPr>
          <w:rFonts w:eastAsia="宋体"/>
          <w:sz w:val="24"/>
          <w:szCs w:val="21"/>
        </w:rPr>
        <w:t>6.1凡参与采购工作的有关人员均应自觉接受有关主管部门的监督，不得向他人透露可能影响公平竞争的有关情况。</w:t>
      </w:r>
      <w:bookmarkEnd w:id="78"/>
      <w:bookmarkEnd w:id="79"/>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6"/>
        <w:keepNext w:val="0"/>
        <w:keepLines w:val="0"/>
        <w:adjustRightInd/>
        <w:spacing w:before="0" w:after="0" w:line="360" w:lineRule="auto"/>
        <w:ind w:firstLine="482" w:firstLineChars="200"/>
        <w:rPr>
          <w:rFonts w:ascii="Times New Roman"/>
          <w:sz w:val="24"/>
          <w:szCs w:val="21"/>
        </w:rPr>
      </w:pPr>
      <w:bookmarkStart w:id="80" w:name="_Toc497016085"/>
      <w:r>
        <w:rPr>
          <w:rFonts w:ascii="Times New Roman"/>
          <w:sz w:val="24"/>
          <w:szCs w:val="21"/>
        </w:rPr>
        <w:t>7. 供应商诚信管理</w:t>
      </w:r>
      <w:bookmarkEnd w:id="80"/>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81"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64"/>
      <w:bookmarkEnd w:id="65"/>
      <w:bookmarkEnd w:id="66"/>
      <w:bookmarkEnd w:id="67"/>
      <w:bookmarkEnd w:id="68"/>
      <w:bookmarkEnd w:id="81"/>
    </w:p>
    <w:p w14:paraId="5A96B68E">
      <w:pPr>
        <w:pStyle w:val="6"/>
        <w:keepNext w:val="0"/>
        <w:keepLines w:val="0"/>
        <w:adjustRightInd/>
        <w:spacing w:before="0" w:after="0" w:line="360" w:lineRule="auto"/>
        <w:ind w:firstLine="482" w:firstLineChars="200"/>
        <w:rPr>
          <w:rFonts w:ascii="Times New Roman"/>
          <w:sz w:val="24"/>
          <w:szCs w:val="21"/>
        </w:rPr>
      </w:pPr>
      <w:bookmarkStart w:id="82" w:name="_Toc110953836"/>
      <w:bookmarkStart w:id="83" w:name="_Toc466786436"/>
      <w:bookmarkStart w:id="84" w:name="_Toc102277758"/>
      <w:bookmarkStart w:id="85" w:name="_Toc6968689"/>
      <w:bookmarkStart w:id="86" w:name="_Toc6882677"/>
      <w:bookmarkStart w:id="87" w:name="_Toc507407361"/>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82"/>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6"/>
        <w:keepNext w:val="0"/>
        <w:keepLines w:val="0"/>
        <w:adjustRightInd/>
        <w:spacing w:before="0" w:after="0" w:line="360" w:lineRule="auto"/>
        <w:ind w:firstLine="482" w:firstLineChars="200"/>
        <w:rPr>
          <w:rFonts w:ascii="Times New Roman"/>
          <w:sz w:val="24"/>
          <w:szCs w:val="21"/>
        </w:rPr>
      </w:pPr>
      <w:bookmarkStart w:id="88"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88"/>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83"/>
      <w:bookmarkEnd w:id="84"/>
      <w:bookmarkEnd w:id="85"/>
      <w:bookmarkEnd w:id="86"/>
      <w:bookmarkEnd w:id="87"/>
      <w:bookmarkStart w:id="89" w:name="_Toc110953838"/>
      <w:bookmarkStart w:id="90" w:name="_Toc6882678"/>
      <w:bookmarkStart w:id="91" w:name="_Toc6968690"/>
      <w:bookmarkStart w:id="92" w:name="_Toc507407362"/>
      <w:bookmarkStart w:id="93" w:name="_Toc102277759"/>
      <w:bookmarkStart w:id="94" w:name="_Toc466786437"/>
    </w:p>
    <w:p w14:paraId="182566E8">
      <w:pPr>
        <w:spacing w:line="360" w:lineRule="auto"/>
      </w:pPr>
    </w:p>
    <w:p w14:paraId="2158156B">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95" w:name="_Toc169861816"/>
      <w:r>
        <w:rPr>
          <w:rFonts w:ascii="Times New Roman" w:hAnsi="Times New Roman" w:eastAsia="宋体"/>
          <w:sz w:val="24"/>
          <w:szCs w:val="21"/>
        </w:rPr>
        <w:t>三、响应文件的制作</w:t>
      </w:r>
      <w:bookmarkEnd w:id="89"/>
      <w:bookmarkEnd w:id="95"/>
    </w:p>
    <w:p w14:paraId="07F7C497">
      <w:pPr>
        <w:pStyle w:val="6"/>
        <w:keepNext w:val="0"/>
        <w:keepLines w:val="0"/>
        <w:adjustRightInd/>
        <w:spacing w:before="0" w:after="0" w:line="480" w:lineRule="exact"/>
        <w:ind w:firstLine="482" w:firstLineChars="200"/>
        <w:rPr>
          <w:rFonts w:hAnsi="宋体"/>
          <w:sz w:val="24"/>
          <w:szCs w:val="21"/>
        </w:rPr>
      </w:pPr>
      <w:bookmarkStart w:id="96" w:name="_Toc97112225"/>
      <w:bookmarkStart w:id="97" w:name="_Toc96934186"/>
      <w:bookmarkStart w:id="98" w:name="_Toc97109974"/>
      <w:bookmarkStart w:id="99" w:name="_Toc96940314"/>
      <w:bookmarkStart w:id="100" w:name="_Toc110953839"/>
      <w:bookmarkStart w:id="101" w:name="_Toc110953840"/>
      <w:r>
        <w:rPr>
          <w:rFonts w:hAnsi="宋体"/>
          <w:sz w:val="24"/>
          <w:szCs w:val="21"/>
        </w:rPr>
        <w:t>10.制作要求</w:t>
      </w:r>
      <w:bookmarkEnd w:id="96"/>
      <w:bookmarkEnd w:id="97"/>
      <w:bookmarkEnd w:id="98"/>
      <w:bookmarkEnd w:id="99"/>
      <w:bookmarkEnd w:id="100"/>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101"/>
    <w:p w14:paraId="0ED8019F">
      <w:pPr>
        <w:pStyle w:val="6"/>
        <w:keepNext w:val="0"/>
        <w:keepLines w:val="0"/>
        <w:adjustRightInd/>
        <w:spacing w:before="0" w:after="0" w:line="480" w:lineRule="exact"/>
        <w:ind w:firstLine="482" w:firstLineChars="200"/>
        <w:rPr>
          <w:rFonts w:hAnsi="宋体"/>
          <w:sz w:val="24"/>
          <w:szCs w:val="21"/>
        </w:rPr>
      </w:pPr>
      <w:bookmarkStart w:id="102" w:name="_Toc96940315"/>
      <w:bookmarkStart w:id="103" w:name="_Toc97112226"/>
      <w:bookmarkStart w:id="104" w:name="_Toc96934187"/>
      <w:bookmarkStart w:id="105" w:name="_Toc97109975"/>
      <w:bookmarkStart w:id="106" w:name="_Toc185150707"/>
      <w:r>
        <w:rPr>
          <w:rFonts w:hAnsi="宋体"/>
          <w:sz w:val="24"/>
          <w:szCs w:val="21"/>
        </w:rPr>
        <w:t>11.响应文件的内容</w:t>
      </w:r>
      <w:bookmarkEnd w:id="102"/>
      <w:bookmarkEnd w:id="103"/>
      <w:bookmarkEnd w:id="104"/>
      <w:bookmarkEnd w:id="105"/>
    </w:p>
    <w:p w14:paraId="6184CB90">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F92FE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7FD976E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76E5F08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（3）响应书；</w:t>
      </w:r>
    </w:p>
    <w:p w14:paraId="3294DC7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（4）报价一览表；</w:t>
      </w:r>
    </w:p>
    <w:p w14:paraId="1B6EC7C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w:t>
      </w:r>
      <w:r>
        <w:rPr>
          <w:rFonts w:hint="eastAsia" w:ascii="宋体" w:hAnsi="宋体" w:eastAsia="宋体"/>
          <w:sz w:val="24"/>
          <w:szCs w:val="21"/>
          <w:highlight w:val="none"/>
          <w:lang w:val="en-US" w:eastAsia="zh-CN"/>
        </w:rPr>
        <w:t>遴选响应承诺函</w:t>
      </w:r>
      <w:r>
        <w:rPr>
          <w:rFonts w:hint="eastAsia" w:ascii="宋体" w:hAnsi="宋体" w:eastAsia="宋体"/>
          <w:sz w:val="24"/>
          <w:szCs w:val="21"/>
          <w:highlight w:val="none"/>
        </w:rPr>
        <w:t>；</w:t>
      </w:r>
    </w:p>
    <w:p w14:paraId="00FB7BA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w:t>
      </w:r>
      <w:r>
        <w:rPr>
          <w:rFonts w:hint="eastAsia" w:ascii="宋体" w:hAnsi="宋体" w:eastAsia="宋体"/>
          <w:sz w:val="24"/>
          <w:szCs w:val="21"/>
          <w:highlight w:val="none"/>
          <w:lang w:val="en-US" w:eastAsia="zh-CN"/>
        </w:rPr>
        <w:t>供货、质量保证书</w:t>
      </w:r>
      <w:r>
        <w:rPr>
          <w:rFonts w:hint="eastAsia" w:ascii="宋体" w:hAnsi="宋体" w:eastAsia="宋体"/>
          <w:sz w:val="24"/>
          <w:szCs w:val="21"/>
          <w:highlight w:val="none"/>
        </w:rPr>
        <w:t>；</w:t>
      </w:r>
    </w:p>
    <w:p w14:paraId="2FD0C8D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（7）近三年来响应产品的销售业绩一览表；</w:t>
      </w:r>
    </w:p>
    <w:p w14:paraId="07C395F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8</w:t>
      </w:r>
      <w:r>
        <w:rPr>
          <w:rFonts w:hint="eastAsia" w:ascii="宋体" w:hAnsi="宋体" w:eastAsia="宋体"/>
          <w:sz w:val="24"/>
          <w:szCs w:val="21"/>
          <w:highlight w:val="none"/>
        </w:rPr>
        <w:t>）法定代表人证明书；</w:t>
      </w:r>
    </w:p>
    <w:p w14:paraId="148DE18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9</w:t>
      </w:r>
      <w:r>
        <w:rPr>
          <w:rFonts w:hint="eastAsia" w:ascii="宋体" w:hAnsi="宋体" w:eastAsia="宋体"/>
          <w:sz w:val="24"/>
          <w:szCs w:val="21"/>
          <w:highlight w:val="none"/>
        </w:rPr>
        <w:t>）法定代表人授权委托书；</w:t>
      </w:r>
    </w:p>
    <w:p w14:paraId="576A8E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0</w:t>
      </w:r>
      <w:r>
        <w:rPr>
          <w:rFonts w:hint="eastAsia" w:ascii="宋体" w:hAnsi="宋体" w:eastAsia="宋体"/>
          <w:sz w:val="24"/>
          <w:szCs w:val="21"/>
          <w:highlight w:val="none"/>
        </w:rPr>
        <w:t>）关于资格的声明函；</w:t>
      </w:r>
    </w:p>
    <w:p w14:paraId="3660368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）响应资格证明书；</w:t>
      </w:r>
    </w:p>
    <w:p w14:paraId="2F14A2E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hint="eastAsia" w:ascii="宋体" w:hAnsi="宋体" w:eastAsia="宋体"/>
          <w:sz w:val="24"/>
          <w:szCs w:val="21"/>
          <w:highlight w:val="none"/>
        </w:rPr>
        <w:t>）响应承诺书；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sz w:val="24"/>
          <w:szCs w:val="21"/>
        </w:rPr>
        <w:t>）。</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6"/>
        <w:keepNext w:val="0"/>
        <w:keepLines w:val="0"/>
        <w:adjustRightInd/>
        <w:spacing w:before="0" w:after="0" w:line="360" w:lineRule="auto"/>
        <w:ind w:firstLine="482" w:firstLineChars="200"/>
        <w:rPr>
          <w:rFonts w:hAnsi="宋体"/>
          <w:sz w:val="24"/>
          <w:szCs w:val="21"/>
        </w:rPr>
      </w:pPr>
      <w:bookmarkStart w:id="107" w:name="_Toc110953841"/>
      <w:bookmarkStart w:id="108" w:name="_Toc96940316"/>
      <w:bookmarkStart w:id="109" w:name="_Toc97112227"/>
      <w:bookmarkStart w:id="110" w:name="_Toc97109976"/>
      <w:bookmarkStart w:id="111" w:name="_Toc96934188"/>
      <w:r>
        <w:rPr>
          <w:rFonts w:hAnsi="宋体"/>
          <w:sz w:val="24"/>
          <w:szCs w:val="21"/>
        </w:rPr>
        <w:t>12.响应文件格式</w:t>
      </w:r>
      <w:bookmarkEnd w:id="107"/>
      <w:bookmarkEnd w:id="108"/>
      <w:bookmarkEnd w:id="109"/>
      <w:bookmarkEnd w:id="110"/>
      <w:bookmarkEnd w:id="111"/>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6"/>
    <w:p w14:paraId="4A49DB18">
      <w:pPr>
        <w:pStyle w:val="6"/>
        <w:keepNext w:val="0"/>
        <w:keepLines w:val="0"/>
        <w:adjustRightInd/>
        <w:spacing w:before="0" w:after="0" w:line="360" w:lineRule="auto"/>
        <w:ind w:firstLine="482" w:firstLineChars="200"/>
        <w:rPr>
          <w:rFonts w:ascii="Times New Roman"/>
          <w:sz w:val="24"/>
          <w:szCs w:val="21"/>
        </w:rPr>
      </w:pPr>
      <w:bookmarkStart w:id="112" w:name="_Toc454701382"/>
      <w:bookmarkStart w:id="113" w:name="_Toc468157537"/>
      <w:bookmarkStart w:id="114" w:name="_Toc479991583"/>
      <w:bookmarkStart w:id="115" w:name="_Toc480020258"/>
      <w:bookmarkStart w:id="116" w:name="_Toc480021054"/>
      <w:bookmarkStart w:id="117" w:name="_Toc480010709"/>
      <w:bookmarkStart w:id="118" w:name="_Toc468606030"/>
      <w:bookmarkStart w:id="119" w:name="_Toc503758471"/>
      <w:bookmarkStart w:id="120" w:name="_Toc480171880"/>
      <w:bookmarkStart w:id="121" w:name="_Toc458262615"/>
      <w:bookmarkStart w:id="122" w:name="_Toc110953842"/>
      <w:bookmarkStart w:id="123" w:name="_Toc467236741"/>
      <w:bookmarkStart w:id="124" w:name="_Toc467987824"/>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90"/>
    <w:bookmarkEnd w:id="91"/>
    <w:bookmarkEnd w:id="92"/>
    <w:bookmarkEnd w:id="93"/>
    <w:bookmarkEnd w:id="94"/>
    <w:p w14:paraId="0432C327">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125" w:name="_Toc110953843"/>
      <w:bookmarkStart w:id="126" w:name="_Toc169861817"/>
      <w:bookmarkStart w:id="127" w:name="_Toc507407363"/>
      <w:bookmarkStart w:id="128" w:name="_Toc6968691"/>
      <w:bookmarkStart w:id="129" w:name="_Toc466786438"/>
      <w:bookmarkStart w:id="130" w:name="_Toc102277760"/>
      <w:bookmarkStart w:id="131" w:name="_Toc6882679"/>
      <w:r>
        <w:rPr>
          <w:rFonts w:ascii="Times New Roman" w:hAnsi="Times New Roman" w:eastAsia="宋体"/>
          <w:sz w:val="24"/>
          <w:szCs w:val="21"/>
        </w:rPr>
        <w:t>四、响应文件的递交</w:t>
      </w:r>
      <w:bookmarkEnd w:id="125"/>
      <w:bookmarkEnd w:id="126"/>
    </w:p>
    <w:p w14:paraId="3EBED509">
      <w:pPr>
        <w:pStyle w:val="6"/>
        <w:keepNext w:val="0"/>
        <w:keepLines w:val="0"/>
        <w:adjustRightInd/>
        <w:spacing w:before="0" w:after="0" w:line="480" w:lineRule="exact"/>
        <w:ind w:firstLine="482" w:firstLineChars="200"/>
        <w:rPr>
          <w:rFonts w:hAnsi="宋体"/>
          <w:sz w:val="24"/>
          <w:szCs w:val="21"/>
        </w:rPr>
      </w:pPr>
      <w:bookmarkStart w:id="132" w:name="_Toc96940320"/>
      <w:bookmarkStart w:id="133" w:name="_Toc110953844"/>
      <w:bookmarkStart w:id="134" w:name="_Toc97109980"/>
      <w:bookmarkStart w:id="135" w:name="_Toc96934192"/>
      <w:bookmarkStart w:id="136" w:name="_Toc97112231"/>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32"/>
      <w:bookmarkEnd w:id="133"/>
      <w:bookmarkEnd w:id="134"/>
      <w:bookmarkEnd w:id="135"/>
      <w:bookmarkEnd w:id="136"/>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37" w:name="_Hlk65400439"/>
      <w:r>
        <w:rPr>
          <w:rFonts w:ascii="宋体" w:hAnsi="宋体" w:eastAsia="宋体"/>
          <w:sz w:val="24"/>
          <w:szCs w:val="21"/>
        </w:rPr>
        <w:t>，并加盖骑缝章（公章）。</w:t>
      </w:r>
      <w:bookmarkEnd w:id="137"/>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6"/>
        <w:keepNext w:val="0"/>
        <w:keepLines w:val="0"/>
        <w:adjustRightInd/>
        <w:spacing w:before="0" w:after="0" w:line="480" w:lineRule="exact"/>
        <w:ind w:firstLine="482" w:firstLineChars="200"/>
        <w:rPr>
          <w:rFonts w:hAnsi="宋体"/>
          <w:sz w:val="24"/>
          <w:szCs w:val="21"/>
          <w:highlight w:val="none"/>
        </w:rPr>
      </w:pPr>
      <w:bookmarkStart w:id="138" w:name="_Toc97112232"/>
      <w:bookmarkStart w:id="139" w:name="_Toc96934193"/>
      <w:bookmarkStart w:id="140" w:name="_Toc97109981"/>
      <w:bookmarkStart w:id="141" w:name="_Toc110953845"/>
      <w:bookmarkStart w:id="142" w:name="_Toc96940321"/>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38"/>
      <w:bookmarkEnd w:id="139"/>
      <w:bookmarkEnd w:id="140"/>
      <w:bookmarkEnd w:id="141"/>
      <w:bookmarkEnd w:id="142"/>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r>
        <w:rPr>
          <w:rFonts w:hint="eastAsia" w:eastAsia="宋体"/>
          <w:sz w:val="24"/>
          <w:szCs w:val="22"/>
          <w:highlight w:val="yellow"/>
          <w:lang w:val="en-US" w:eastAsia="zh-CN"/>
        </w:rPr>
        <w:t>（报名资料及遴选文件可一齐寄出）</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邮寄信息：广东省开平市长沙街道办事处三江A7区，开平市中心医院张襯大楼（收件人：龚小姐，电话：15917318304）</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1298A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hint="eastAsia" w:ascii="宋体" w:hAnsi="宋体" w:eastAsia="宋体"/>
          <w:sz w:val="24"/>
          <w:szCs w:val="22"/>
          <w:highlight w:val="none"/>
        </w:rPr>
        <w:t>时间:2025年9月</w:t>
      </w:r>
      <w:r>
        <w:rPr>
          <w:rFonts w:hint="eastAsia" w:ascii="宋体" w:hAnsi="宋体" w:eastAsia="宋体"/>
          <w:sz w:val="24"/>
          <w:szCs w:val="22"/>
          <w:highlight w:val="none"/>
          <w:lang w:val="en-US" w:eastAsia="zh-CN"/>
        </w:rPr>
        <w:t>2</w:t>
      </w:r>
      <w:r>
        <w:rPr>
          <w:rFonts w:hint="eastAsia" w:ascii="宋体" w:hAnsi="宋体" w:eastAsia="宋体"/>
          <w:sz w:val="24"/>
          <w:szCs w:val="22"/>
          <w:highlight w:val="none"/>
        </w:rPr>
        <w:t>9日-2025年</w:t>
      </w:r>
      <w:r>
        <w:rPr>
          <w:rFonts w:hint="eastAsia" w:ascii="宋体" w:hAnsi="宋体" w:eastAsia="宋体"/>
          <w:sz w:val="24"/>
          <w:szCs w:val="22"/>
          <w:highlight w:val="none"/>
          <w:lang w:val="en-US" w:eastAsia="zh-CN"/>
        </w:rPr>
        <w:t>10</w:t>
      </w:r>
      <w:r>
        <w:rPr>
          <w:rFonts w:hint="eastAsia" w:ascii="宋体" w:hAnsi="宋体" w:eastAsia="宋体"/>
          <w:sz w:val="24"/>
          <w:szCs w:val="22"/>
          <w:highlight w:val="none"/>
        </w:rPr>
        <w:t>月</w:t>
      </w:r>
      <w:r>
        <w:rPr>
          <w:rFonts w:hint="eastAsia" w:ascii="宋体" w:hAnsi="宋体" w:eastAsia="宋体"/>
          <w:sz w:val="24"/>
          <w:szCs w:val="22"/>
          <w:highlight w:val="none"/>
          <w:lang w:val="en-US" w:eastAsia="zh-CN"/>
        </w:rPr>
        <w:t>11</w:t>
      </w:r>
      <w:r>
        <w:rPr>
          <w:rFonts w:hint="eastAsia" w:ascii="宋体" w:hAnsi="宋体" w:eastAsia="宋体"/>
          <w:sz w:val="24"/>
          <w:szCs w:val="22"/>
          <w:highlight w:val="none"/>
        </w:rPr>
        <w:t>日</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hint="eastAsia" w:ascii="宋体" w:hAnsi="宋体" w:eastAsia="宋体"/>
          <w:sz w:val="24"/>
          <w:szCs w:val="22"/>
          <w:highlight w:val="none"/>
        </w:rPr>
        <w:t>（工作日上午8：00——11:30，下午2:00——5:30）</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50"/>
    <w:bookmarkEnd w:id="51"/>
    <w:bookmarkEnd w:id="52"/>
    <w:bookmarkEnd w:id="53"/>
    <w:bookmarkEnd w:id="54"/>
    <w:bookmarkEnd w:id="55"/>
    <w:bookmarkEnd w:id="56"/>
    <w:bookmarkEnd w:id="57"/>
    <w:bookmarkEnd w:id="58"/>
    <w:bookmarkEnd w:id="59"/>
    <w:bookmarkEnd w:id="60"/>
    <w:bookmarkEnd w:id="127"/>
    <w:bookmarkEnd w:id="128"/>
    <w:bookmarkEnd w:id="129"/>
    <w:bookmarkEnd w:id="130"/>
    <w:bookmarkEnd w:id="131"/>
    <w:p w14:paraId="300BFE7E">
      <w:pPr>
        <w:rPr>
          <w:rFonts w:ascii="Times New Roman"/>
          <w:sz w:val="36"/>
          <w:szCs w:val="28"/>
        </w:rPr>
      </w:pPr>
      <w:bookmarkStart w:id="143" w:name="_Toc169861823"/>
      <w:bookmarkStart w:id="144" w:name="_Toc51756491"/>
      <w:bookmarkStart w:id="145" w:name="_Toc51939456"/>
      <w:bookmarkStart w:id="146" w:name="_Toc52027926"/>
      <w:bookmarkStart w:id="147" w:name="_Toc56353011"/>
      <w:bookmarkStart w:id="148" w:name="_Toc52021538"/>
      <w:bookmarkStart w:id="149" w:name="_Toc467050236"/>
      <w:bookmarkStart w:id="150" w:name="_Toc476976198"/>
      <w:bookmarkStart w:id="151" w:name="_Toc486671570"/>
      <w:bookmarkStart w:id="152" w:name="_Toc467236766"/>
      <w:bookmarkStart w:id="153" w:name="_Toc467049706"/>
      <w:bookmarkStart w:id="154" w:name="_Toc457975339"/>
      <w:r>
        <w:rPr>
          <w:rFonts w:ascii="Times New Roman"/>
          <w:sz w:val="36"/>
          <w:szCs w:val="28"/>
        </w:rPr>
        <w:br w:type="page"/>
      </w:r>
    </w:p>
    <w:p w14:paraId="2EE59E0A">
      <w:pPr>
        <w:pStyle w:val="3"/>
        <w:keepNext w:val="0"/>
        <w:keepLines w:val="0"/>
        <w:spacing w:before="0" w:after="0" w:line="360" w:lineRule="auto"/>
        <w:jc w:val="center"/>
        <w:rPr>
          <w:rFonts w:hint="eastAsia" w:ascii="Times New Roman" w:eastAsia="宋体"/>
          <w:sz w:val="36"/>
          <w:szCs w:val="28"/>
          <w:lang w:eastAsia="zh-CN"/>
        </w:rPr>
      </w:pPr>
      <w:r>
        <w:rPr>
          <w:rFonts w:ascii="Times New Roman"/>
          <w:sz w:val="36"/>
          <w:szCs w:val="28"/>
        </w:rPr>
        <w:t>第</w:t>
      </w:r>
      <w:r>
        <w:rPr>
          <w:rFonts w:hint="eastAsia" w:ascii="Times New Roman"/>
          <w:sz w:val="36"/>
          <w:szCs w:val="28"/>
          <w:lang w:val="en-US" w:eastAsia="zh-CN"/>
        </w:rPr>
        <w:t>三</w:t>
      </w:r>
      <w:r>
        <w:rPr>
          <w:rFonts w:ascii="Times New Roman"/>
          <w:sz w:val="36"/>
          <w:szCs w:val="28"/>
        </w:rPr>
        <w:t>部分</w:t>
      </w:r>
      <w:r>
        <w:rPr>
          <w:rFonts w:hint="eastAsia" w:ascii="Times New Roman"/>
          <w:sz w:val="36"/>
          <w:szCs w:val="28"/>
        </w:rPr>
        <w:t xml:space="preserve"> 评审</w:t>
      </w:r>
      <w:bookmarkEnd w:id="143"/>
      <w:r>
        <w:rPr>
          <w:rFonts w:hint="eastAsia" w:ascii="Times New Roman"/>
          <w:sz w:val="36"/>
          <w:szCs w:val="28"/>
          <w:lang w:val="en-US" w:eastAsia="zh-CN"/>
        </w:rPr>
        <w:t>内容</w:t>
      </w:r>
    </w:p>
    <w:p w14:paraId="60F4E712">
      <w:pPr>
        <w:pStyle w:val="23"/>
        <w:tabs>
          <w:tab w:val="left" w:pos="945"/>
          <w:tab w:val="left" w:pos="1050"/>
        </w:tabs>
        <w:spacing w:line="480" w:lineRule="exact"/>
        <w:ind w:firstLine="480" w:firstLineChars="200"/>
        <w:rPr>
          <w:rFonts w:hint="eastAsia" w:hAnsi="宋体"/>
          <w:b/>
          <w:color w:val="auto"/>
          <w:sz w:val="24"/>
        </w:rPr>
      </w:pPr>
      <w:r>
        <w:rPr>
          <w:rFonts w:hint="eastAsia" w:hAnsi="宋体"/>
          <w:color w:val="auto"/>
          <w:sz w:val="24"/>
        </w:rPr>
        <w:t>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文件全部实质性要求的响应人才能进入评比阶段，对未能通过资格审查和符合性审查的响应文件作无效响应处理，且按照评审因素的量化指标评审得分最高的响应人为成交候选供应商的评审方法。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的供应商的响应文件和报价进行综合评分。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hAnsi="宋体"/>
          <w:b/>
          <w:color w:val="auto"/>
          <w:sz w:val="24"/>
          <w:szCs w:val="24"/>
        </w:rPr>
      </w:pPr>
      <w:r>
        <w:rPr>
          <w:rFonts w:hint="eastAsia" w:hAnsi="宋体"/>
          <w:b/>
          <w:color w:val="auto"/>
          <w:sz w:val="24"/>
          <w:szCs w:val="24"/>
          <w:lang w:val="en-US" w:eastAsia="zh-CN"/>
        </w:rPr>
        <w:t>一、</w:t>
      </w:r>
      <w:r>
        <w:rPr>
          <w:rFonts w:hint="eastAsia" w:hAnsi="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1" w:type="dxa"/>
            <w:noWrap w:val="0"/>
            <w:vAlign w:val="center"/>
          </w:tcPr>
          <w:p w14:paraId="3C47A677">
            <w:pPr>
              <w:pStyle w:val="23"/>
              <w:spacing w:line="480" w:lineRule="exact"/>
              <w:jc w:val="center"/>
              <w:rPr>
                <w:rFonts w:hAnsi="宋体"/>
                <w:color w:val="auto"/>
                <w:sz w:val="24"/>
                <w:szCs w:val="24"/>
              </w:rPr>
            </w:pPr>
            <w:r>
              <w:rPr>
                <w:rFonts w:hint="eastAsia" w:hAnsi="宋体"/>
                <w:color w:val="auto"/>
                <w:sz w:val="24"/>
                <w:szCs w:val="24"/>
              </w:rPr>
              <w:t>审查项目</w:t>
            </w:r>
          </w:p>
        </w:tc>
        <w:tc>
          <w:tcPr>
            <w:tcW w:w="7700" w:type="dxa"/>
            <w:noWrap w:val="0"/>
            <w:vAlign w:val="center"/>
          </w:tcPr>
          <w:p w14:paraId="0873F20B">
            <w:pPr>
              <w:pStyle w:val="23"/>
              <w:spacing w:line="480" w:lineRule="exact"/>
              <w:jc w:val="center"/>
              <w:rPr>
                <w:rFonts w:hAnsi="宋体"/>
                <w:color w:val="auto"/>
                <w:sz w:val="24"/>
                <w:szCs w:val="24"/>
              </w:rPr>
            </w:pPr>
            <w:r>
              <w:rPr>
                <w:rFonts w:hint="eastAsia" w:hAnsi="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Ansi="宋体"/>
                <w:color w:val="auto"/>
                <w:sz w:val="24"/>
                <w:szCs w:val="24"/>
              </w:rPr>
            </w:pPr>
            <w:r>
              <w:rPr>
                <w:rFonts w:hint="eastAsia" w:hAnsi="宋体"/>
                <w:color w:val="auto"/>
                <w:sz w:val="24"/>
                <w:szCs w:val="24"/>
              </w:rPr>
              <w:t>资格审查</w:t>
            </w:r>
          </w:p>
        </w:tc>
        <w:tc>
          <w:tcPr>
            <w:tcW w:w="7700" w:type="dxa"/>
            <w:noWrap w:val="0"/>
            <w:vAlign w:val="center"/>
          </w:tcPr>
          <w:p w14:paraId="7C741D44">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4"/>
              </w:rPr>
              <w:t>满足《中华人民共和国政府采购法》第二十二条规定</w:t>
            </w:r>
            <w:r>
              <w:rPr>
                <w:rFonts w:hint="eastAsia" w:hAnsi="宋体" w:cs="宋体"/>
                <w:color w:val="auto"/>
                <w:sz w:val="24"/>
                <w:szCs w:val="21"/>
              </w:rPr>
              <w:t>；</w:t>
            </w:r>
          </w:p>
          <w:p w14:paraId="5F6F4E4A">
            <w:pPr>
              <w:pStyle w:val="23"/>
              <w:spacing w:line="480" w:lineRule="exact"/>
              <w:rPr>
                <w:rFonts w:hint="eastAsia" w:hAnsi="宋体" w:cs="宋体"/>
                <w:color w:val="auto"/>
                <w:sz w:val="24"/>
                <w:szCs w:val="21"/>
                <w:highlight w:val="none"/>
              </w:rPr>
            </w:pPr>
            <w:r>
              <w:rPr>
                <w:rFonts w:hint="eastAsia" w:hAnsi="宋体" w:cs="宋体"/>
                <w:color w:val="auto"/>
                <w:sz w:val="24"/>
                <w:szCs w:val="21"/>
                <w:highlight w:val="none"/>
              </w:rPr>
              <w:t>2、落实政府采购政策需满足的资格要求：本项目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w:t>
            </w:r>
          </w:p>
          <w:p w14:paraId="034455DD">
            <w:pPr>
              <w:pStyle w:val="23"/>
              <w:spacing w:line="480" w:lineRule="exact"/>
              <w:rPr>
                <w:rFonts w:hint="eastAsia" w:hAnsi="宋体" w:cs="宋体"/>
                <w:color w:val="auto"/>
                <w:sz w:val="24"/>
                <w:szCs w:val="22"/>
              </w:rPr>
            </w:pPr>
            <w:r>
              <w:rPr>
                <w:rFonts w:hint="eastAsia" w:hAnsi="宋体" w:cs="宋体"/>
                <w:color w:val="auto"/>
                <w:sz w:val="24"/>
                <w:szCs w:val="22"/>
              </w:rPr>
              <w:t>3、本项目的特定资格要求：</w:t>
            </w:r>
          </w:p>
          <w:p w14:paraId="1607900B">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1D93FFCF">
            <w:pPr>
              <w:pStyle w:val="23"/>
              <w:spacing w:line="480" w:lineRule="exact"/>
              <w:rPr>
                <w:rFonts w:hint="eastAsia" w:hAnsi="宋体" w:cs="宋体"/>
                <w:color w:val="auto"/>
                <w:sz w:val="24"/>
                <w:szCs w:val="21"/>
              </w:rPr>
            </w:pPr>
            <w:r>
              <w:rPr>
                <w:rFonts w:hint="eastAsia" w:hAnsi="宋体" w:cs="宋体"/>
                <w:color w:val="auto"/>
                <w:sz w:val="24"/>
                <w:szCs w:val="21"/>
              </w:rPr>
              <w:t>1）响应人应当是具有独立承担民事责任能力的</w:t>
            </w:r>
            <w:r>
              <w:rPr>
                <w:rFonts w:hint="eastAsia" w:hAnsi="宋体" w:cs="宋体"/>
                <w:color w:val="auto"/>
                <w:kern w:val="0"/>
                <w:sz w:val="24"/>
                <w:szCs w:val="24"/>
              </w:rPr>
              <w:t>在中华人民共和国境内注册的</w:t>
            </w:r>
            <w:r>
              <w:rPr>
                <w:rFonts w:hint="eastAsia" w:hAnsi="宋体" w:cs="宋体"/>
                <w:color w:val="auto"/>
                <w:sz w:val="24"/>
                <w:szCs w:val="21"/>
              </w:rPr>
              <w:t>法人、其他组织或者自然人；（提供有效的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rPr>
              <w:t>（</w:t>
            </w:r>
            <w:r>
              <w:rPr>
                <w:rFonts w:hint="eastAsia" w:hAnsi="宋体" w:cs="宋体"/>
                <w:bCs/>
                <w:color w:val="auto"/>
                <w:sz w:val="24"/>
              </w:rPr>
              <w:t>若法人或者其他组织响应的</w:t>
            </w:r>
            <w:r>
              <w:rPr>
                <w:rFonts w:hint="eastAsia" w:hAnsi="宋体" w:cs="宋体"/>
                <w:color w:val="auto"/>
                <w:sz w:val="24"/>
              </w:rPr>
              <w:t>），</w:t>
            </w:r>
            <w:r>
              <w:rPr>
                <w:rFonts w:hint="eastAsia" w:hAnsi="宋体" w:cs="宋体"/>
                <w:color w:val="auto"/>
                <w:sz w:val="24"/>
                <w:szCs w:val="21"/>
              </w:rPr>
              <w:t>自然人有效的身份证明复印件</w:t>
            </w:r>
            <w:r>
              <w:rPr>
                <w:rFonts w:hint="eastAsia" w:hAnsi="宋体" w:cs="宋体"/>
                <w:color w:val="auto"/>
                <w:sz w:val="24"/>
              </w:rPr>
              <w:t>（</w:t>
            </w:r>
            <w:r>
              <w:rPr>
                <w:rFonts w:hint="eastAsia" w:hAnsi="宋体" w:cs="宋体"/>
                <w:bCs/>
                <w:color w:val="auto"/>
                <w:sz w:val="24"/>
              </w:rPr>
              <w:t>若</w:t>
            </w:r>
            <w:r>
              <w:rPr>
                <w:rFonts w:hint="eastAsia" w:hAnsi="宋体" w:cs="宋体"/>
                <w:color w:val="auto"/>
                <w:sz w:val="24"/>
                <w:szCs w:val="21"/>
              </w:rPr>
              <w:t>自然人</w:t>
            </w:r>
            <w:r>
              <w:rPr>
                <w:rFonts w:hint="eastAsia" w:hAnsi="宋体" w:cs="宋体"/>
                <w:bCs/>
                <w:color w:val="auto"/>
                <w:sz w:val="24"/>
              </w:rPr>
              <w:t>响应的</w:t>
            </w:r>
            <w:r>
              <w:rPr>
                <w:rFonts w:hint="eastAsia" w:hAnsi="宋体" w:cs="宋体"/>
                <w:color w:val="auto"/>
                <w:sz w:val="24"/>
              </w:rPr>
              <w:t>）。</w:t>
            </w:r>
            <w:r>
              <w:rPr>
                <w:rFonts w:hint="eastAsia" w:hAnsi="宋体" w:cs="宋体"/>
                <w:bCs/>
                <w:color w:val="auto"/>
                <w:sz w:val="24"/>
              </w:rPr>
              <w:t>若分支机构响应的，</w:t>
            </w:r>
            <w:r>
              <w:rPr>
                <w:rFonts w:hint="eastAsia" w:hAnsi="宋体" w:cs="宋体"/>
                <w:color w:val="auto"/>
                <w:sz w:val="24"/>
              </w:rPr>
              <w:t>应当</w:t>
            </w:r>
            <w:r>
              <w:rPr>
                <w:rFonts w:hint="eastAsia" w:hAnsi="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hAnsi="宋体" w:cs="宋体"/>
                <w:color w:val="auto"/>
                <w:sz w:val="24"/>
                <w:szCs w:val="21"/>
              </w:rPr>
              <w:t>）</w:t>
            </w:r>
          </w:p>
          <w:p w14:paraId="7E902C59">
            <w:pPr>
              <w:pStyle w:val="23"/>
              <w:spacing w:line="480" w:lineRule="exact"/>
              <w:rPr>
                <w:rFonts w:hint="eastAsia" w:hAnsi="宋体" w:cs="宋体"/>
                <w:sz w:val="24"/>
              </w:rPr>
            </w:pPr>
            <w:r>
              <w:rPr>
                <w:rFonts w:hint="eastAsia" w:hAnsi="宋体" w:cs="宋体"/>
                <w:sz w:val="24"/>
                <w:szCs w:val="21"/>
              </w:rPr>
              <w:t>2）响应人应当具有良好的商业信誉和健全的财务会计制度；（提供202</w:t>
            </w:r>
            <w:r>
              <w:rPr>
                <w:rFonts w:hint="eastAsia" w:hAnsi="宋体" w:cs="宋体"/>
                <w:sz w:val="24"/>
                <w:szCs w:val="21"/>
                <w:lang w:val="en-US" w:eastAsia="zh-CN"/>
              </w:rPr>
              <w:t>4</w:t>
            </w:r>
            <w:r>
              <w:rPr>
                <w:rFonts w:hint="eastAsia" w:hAnsi="宋体" w:cs="宋体"/>
                <w:sz w:val="24"/>
                <w:szCs w:val="21"/>
              </w:rPr>
              <w:t>年度财务状况报告或202</w:t>
            </w:r>
            <w:r>
              <w:rPr>
                <w:rFonts w:hint="eastAsia" w:hAnsi="宋体" w:cs="宋体"/>
                <w:sz w:val="24"/>
                <w:szCs w:val="21"/>
                <w:lang w:val="en-US" w:eastAsia="zh-CN"/>
              </w:rPr>
              <w:t>5</w:t>
            </w:r>
            <w:r>
              <w:rPr>
                <w:rFonts w:hint="eastAsia" w:hAnsi="宋体" w:cs="宋体"/>
                <w:sz w:val="24"/>
                <w:szCs w:val="21"/>
              </w:rPr>
              <w:t>年1月至今任意1个月的财务报表或银行出具的资信证明复印件）</w:t>
            </w:r>
          </w:p>
          <w:p w14:paraId="1B2B2FF8">
            <w:pPr>
              <w:pStyle w:val="23"/>
              <w:spacing w:line="480" w:lineRule="exact"/>
              <w:rPr>
                <w:rFonts w:hint="eastAsia" w:hAnsi="宋体" w:cs="宋体"/>
                <w:sz w:val="24"/>
                <w:szCs w:val="21"/>
              </w:rPr>
            </w:pPr>
            <w:r>
              <w:rPr>
                <w:rFonts w:hint="eastAsia" w:hAnsi="宋体" w:cs="宋体"/>
                <w:sz w:val="24"/>
                <w:szCs w:val="21"/>
              </w:rPr>
              <w:t>3）响应人应当具有履行合同所必需的</w:t>
            </w:r>
            <w:r>
              <w:rPr>
                <w:rFonts w:hint="eastAsia" w:hAnsi="宋体" w:cs="宋体"/>
                <w:sz w:val="24"/>
                <w:szCs w:val="21"/>
                <w:lang w:eastAsia="zh-CN"/>
              </w:rPr>
              <w:t>货物</w:t>
            </w:r>
            <w:r>
              <w:rPr>
                <w:rFonts w:hint="eastAsia" w:hAnsi="宋体" w:cs="宋体"/>
                <w:sz w:val="24"/>
                <w:szCs w:val="21"/>
              </w:rPr>
              <w:t>和专业技术能力；（提供《关于资格的声明函》）</w:t>
            </w:r>
          </w:p>
          <w:p w14:paraId="1244664A">
            <w:pPr>
              <w:pStyle w:val="23"/>
              <w:spacing w:line="480" w:lineRule="exact"/>
              <w:rPr>
                <w:rFonts w:hint="eastAsia" w:hAnsi="宋体" w:cs="宋体"/>
                <w:sz w:val="24"/>
                <w:szCs w:val="21"/>
              </w:rPr>
            </w:pPr>
            <w:r>
              <w:rPr>
                <w:rFonts w:hint="eastAsia" w:hAnsi="宋体" w:cs="宋体"/>
                <w:sz w:val="24"/>
                <w:szCs w:val="21"/>
              </w:rPr>
              <w:t>4）响应人应当有依法缴纳税收和社会保障资金的良好记录；（提供202</w:t>
            </w:r>
            <w:r>
              <w:rPr>
                <w:rFonts w:hint="eastAsia" w:hAnsi="宋体" w:cs="宋体"/>
                <w:sz w:val="24"/>
                <w:szCs w:val="21"/>
                <w:lang w:val="en-US" w:eastAsia="zh-CN"/>
              </w:rPr>
              <w:t>5</w:t>
            </w:r>
            <w:r>
              <w:rPr>
                <w:rFonts w:hint="eastAsia" w:hAnsi="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hAnsi="宋体" w:cs="宋体"/>
                <w:color w:val="auto"/>
                <w:sz w:val="24"/>
                <w:szCs w:val="21"/>
              </w:rPr>
            </w:pPr>
            <w:r>
              <w:rPr>
                <w:rFonts w:hint="eastAsia" w:hAnsi="宋体" w:cs="宋体"/>
                <w:color w:val="auto"/>
                <w:sz w:val="24"/>
                <w:szCs w:val="21"/>
              </w:rPr>
              <w:t>5）响应人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hAnsi="宋体" w:cs="宋体"/>
                <w:color w:val="auto"/>
                <w:sz w:val="24"/>
                <w:szCs w:val="24"/>
                <w:shd w:val="clear" w:color="auto" w:fill="FFFFFF"/>
              </w:rPr>
            </w:pPr>
            <w:r>
              <w:rPr>
                <w:rFonts w:hint="eastAsia" w:hAnsi="宋体" w:cs="宋体"/>
                <w:color w:val="auto"/>
                <w:sz w:val="24"/>
                <w:szCs w:val="21"/>
              </w:rPr>
              <w:t>6）响应人应当符合法律、行政法规规定的其他条件。（提供《关于资格的声明函》）</w:t>
            </w:r>
          </w:p>
          <w:p w14:paraId="5E9CFAD5">
            <w:pPr>
              <w:pStyle w:val="23"/>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w:t>
            </w:r>
            <w:r>
              <w:rPr>
                <w:rFonts w:hint="eastAsia" w:hAnsi="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hAnsi="宋体"/>
                <w:color w:val="auto"/>
                <w:sz w:val="24"/>
              </w:rPr>
              <w:t>开启响应文件当日采购</w:t>
            </w:r>
            <w:r>
              <w:rPr>
                <w:rFonts w:hint="eastAsia" w:hAnsi="宋体"/>
                <w:color w:val="auto"/>
                <w:sz w:val="24"/>
                <w:lang w:val="en-US" w:eastAsia="zh-CN"/>
              </w:rPr>
              <w:t>人</w:t>
            </w:r>
            <w:r>
              <w:rPr>
                <w:rFonts w:hAnsi="宋体"/>
                <w:bCs/>
                <w:color w:val="auto"/>
                <w:sz w:val="24"/>
              </w:rPr>
              <w:t>通过“信用中国”网站（www.creditchina.gov.cn）、中国政府采购网（www.ccgp.gov.cn）查询</w:t>
            </w:r>
            <w:r>
              <w:rPr>
                <w:rFonts w:hint="eastAsia" w:hAnsi="宋体"/>
                <w:bCs/>
                <w:color w:val="auto"/>
                <w:sz w:val="24"/>
              </w:rPr>
              <w:t>响应人信用记录为准，如相关失信记录已失效，</w:t>
            </w:r>
            <w:r>
              <w:rPr>
                <w:rFonts w:hint="eastAsia" w:hAnsi="宋体" w:cs="宋体"/>
                <w:color w:val="auto"/>
                <w:sz w:val="24"/>
                <w:szCs w:val="21"/>
              </w:rPr>
              <w:t>应当提供相应证明文件复印件</w:t>
            </w:r>
            <w:r>
              <w:rPr>
                <w:rFonts w:hint="eastAsia" w:hAnsi="宋体" w:cs="宋体"/>
                <w:color w:val="auto"/>
                <w:sz w:val="24"/>
                <w:szCs w:val="22"/>
              </w:rPr>
              <w:t>）</w:t>
            </w:r>
          </w:p>
          <w:p w14:paraId="141B1B8B">
            <w:pPr>
              <w:pStyle w:val="23"/>
              <w:spacing w:line="480" w:lineRule="exact"/>
              <w:rPr>
                <w:rFonts w:hint="eastAsia" w:hAnsi="宋体" w:cs="宋体"/>
                <w:color w:val="auto"/>
                <w:sz w:val="24"/>
              </w:rPr>
            </w:pPr>
            <w:r>
              <w:rPr>
                <w:rFonts w:hint="eastAsia" w:hAnsi="宋体" w:cs="宋体"/>
                <w:color w:val="auto"/>
                <w:sz w:val="24"/>
              </w:rPr>
              <w:t>（3）单位负责人为同一人或者存在直接控股、管理关系的不同供应商，不得参加同一合同包项下的招标采购活动；</w:t>
            </w:r>
            <w:r>
              <w:rPr>
                <w:rFonts w:hint="eastAsia" w:hAnsi="宋体" w:cs="宋体"/>
                <w:color w:val="auto"/>
                <w:sz w:val="24"/>
                <w:szCs w:val="21"/>
              </w:rPr>
              <w:t>（提供《关于资格的声明函》）</w:t>
            </w:r>
          </w:p>
          <w:p w14:paraId="341AC8FB">
            <w:pPr>
              <w:pStyle w:val="23"/>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为本项目提供整体设计、规范编制或者项目管理、监理、检测等服务的供应商，不得再参加该采购项目的其他采购活动</w:t>
            </w:r>
            <w:r>
              <w:rPr>
                <w:rFonts w:hint="eastAsia" w:hAnsi="宋体" w:cs="宋体"/>
                <w:color w:val="auto"/>
                <w:sz w:val="24"/>
              </w:rPr>
              <w:t>；</w:t>
            </w:r>
            <w:r>
              <w:rPr>
                <w:rFonts w:hint="eastAsia" w:hAnsi="宋体" w:cs="宋体"/>
                <w:color w:val="auto"/>
                <w:sz w:val="24"/>
                <w:szCs w:val="21"/>
              </w:rPr>
              <w:t>（提供《关于资格的声明函》）</w:t>
            </w:r>
          </w:p>
          <w:p w14:paraId="3BD861F9">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p w14:paraId="3D27329D">
            <w:pPr>
              <w:pStyle w:val="23"/>
              <w:spacing w:line="480" w:lineRule="exact"/>
              <w:rPr>
                <w:rFonts w:hint="eastAsia" w:ascii="宋体" w:hAnsi="宋体" w:cs="宋体"/>
                <w:bCs/>
                <w:sz w:val="24"/>
                <w:lang w:val="en-US" w:eastAsia="zh-CN"/>
              </w:rPr>
            </w:pP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lang w:val="en-US" w:eastAsia="zh-CN"/>
              </w:rPr>
              <w:t>6）响应人</w:t>
            </w:r>
            <w:r>
              <w:rPr>
                <w:rFonts w:hint="eastAsia" w:ascii="宋体" w:hAnsi="宋体" w:cs="宋体"/>
                <w:bCs/>
                <w:sz w:val="24"/>
                <w:lang w:val="en-US" w:eastAsia="zh-CN"/>
              </w:rPr>
              <w:t>须提供有效期内的《中华人民共和国特种设备生产许可证》</w:t>
            </w:r>
          </w:p>
          <w:p w14:paraId="3745BEA2">
            <w:pPr>
              <w:pStyle w:val="23"/>
              <w:spacing w:line="480" w:lineRule="exact"/>
              <w:rPr>
                <w:rFonts w:hint="eastAsia" w:ascii="宋体" w:hAnsi="宋体" w:cs="宋体"/>
                <w:bCs/>
                <w:sz w:val="24"/>
                <w:lang w:val="en-US" w:eastAsia="zh-CN"/>
              </w:rPr>
            </w:pPr>
            <w:r>
              <w:rPr>
                <w:rFonts w:hint="eastAsia" w:ascii="宋体" w:hAnsi="宋体" w:cs="宋体"/>
                <w:bCs/>
                <w:sz w:val="24"/>
                <w:lang w:val="en-US" w:eastAsia="zh-CN"/>
              </w:rPr>
              <w:t>（7）响应人须提供厂家出具有效的经销证书和电梯安装委托书（非厂家投标时提供）</w:t>
            </w:r>
          </w:p>
          <w:p w14:paraId="77E76982">
            <w:pPr>
              <w:pStyle w:val="23"/>
              <w:spacing w:line="480" w:lineRule="exact"/>
              <w:rPr>
                <w:rFonts w:hint="eastAsia" w:ascii="宋体" w:hAnsi="宋体" w:cs="宋体"/>
                <w:bCs/>
                <w:sz w:val="24"/>
                <w:lang w:val="en-US" w:eastAsia="zh-CN"/>
              </w:rPr>
            </w:pPr>
            <w:r>
              <w:rPr>
                <w:rFonts w:hint="eastAsia" w:ascii="宋体" w:hAnsi="宋体" w:cs="宋体"/>
                <w:bCs/>
                <w:sz w:val="24"/>
                <w:highlight w:val="none"/>
                <w:lang w:val="en-US" w:eastAsia="zh-CN"/>
              </w:rPr>
              <w:t>（8）供应商须入驻广东政府采购智慧云平台。（</w:t>
            </w:r>
            <w:r>
              <w:rPr>
                <w:rFonts w:ascii="Inter" w:hAnsi="Inter" w:eastAsia="Inter" w:cs="Inter"/>
                <w:i w:val="0"/>
                <w:iCs w:val="0"/>
                <w:caps w:val="0"/>
                <w:color w:val="0F1115"/>
                <w:spacing w:val="0"/>
                <w:sz w:val="24"/>
                <w:szCs w:val="24"/>
                <w:highlight w:val="none"/>
                <w:shd w:val="clear" w:color="auto" w:fill="FFFFFF"/>
              </w:rPr>
              <w:t>登录</w:t>
            </w:r>
            <w:r>
              <w:rPr>
                <w:rFonts w:hint="eastAsia" w:ascii="Inter" w:hAnsi="Inter" w:eastAsia="宋体" w:cs="Inter"/>
                <w:i w:val="0"/>
                <w:iCs w:val="0"/>
                <w:caps w:val="0"/>
                <w:color w:val="0F1115"/>
                <w:spacing w:val="0"/>
                <w:sz w:val="24"/>
                <w:szCs w:val="24"/>
                <w:highlight w:val="none"/>
                <w:shd w:val="clear" w:color="auto" w:fill="FFFFFF"/>
                <w:lang w:eastAsia="zh-CN"/>
              </w:rPr>
              <w:t>“</w:t>
            </w:r>
            <w:r>
              <w:rPr>
                <w:rFonts w:ascii="Inter" w:hAnsi="Inter" w:eastAsia="Inter" w:cs="Inter"/>
                <w:i w:val="0"/>
                <w:iCs w:val="0"/>
                <w:caps w:val="0"/>
                <w:color w:val="0F1115"/>
                <w:spacing w:val="0"/>
                <w:sz w:val="24"/>
                <w:szCs w:val="24"/>
                <w:highlight w:val="none"/>
                <w:shd w:val="clear" w:color="auto" w:fill="FFFFFF"/>
              </w:rPr>
              <w:t>广东政府采购智慧云平台</w:t>
            </w:r>
            <w:r>
              <w:rPr>
                <w:rFonts w:hint="eastAsia" w:ascii="Inter" w:hAnsi="Inter" w:eastAsia="宋体" w:cs="Inter"/>
                <w:i w:val="0"/>
                <w:iCs w:val="0"/>
                <w:caps w:val="0"/>
                <w:color w:val="0F1115"/>
                <w:spacing w:val="0"/>
                <w:sz w:val="24"/>
                <w:szCs w:val="24"/>
                <w:highlight w:val="none"/>
                <w:shd w:val="clear" w:color="auto" w:fill="FFFFFF"/>
                <w:lang w:eastAsia="zh-CN"/>
              </w:rPr>
              <w:t>”</w:t>
            </w:r>
            <w:r>
              <w:rPr>
                <w:rFonts w:ascii="Inter" w:hAnsi="Inter" w:eastAsia="Inter" w:cs="Inter"/>
                <w:i w:val="0"/>
                <w:iCs w:val="0"/>
                <w:caps w:val="0"/>
                <w:color w:val="0F1115"/>
                <w:spacing w:val="0"/>
                <w:sz w:val="24"/>
                <w:szCs w:val="24"/>
                <w:highlight w:val="none"/>
                <w:shd w:val="clear" w:color="auto" w:fill="FFFFFF"/>
              </w:rPr>
              <w:t>找到入驻资格的页面进行截图</w:t>
            </w:r>
            <w:r>
              <w:rPr>
                <w:rFonts w:hint="eastAsia" w:ascii="宋体" w:hAnsi="宋体" w:cs="宋体"/>
                <w:bCs/>
                <w:sz w:val="24"/>
                <w:highlight w:val="none"/>
                <w:lang w:val="en-US" w:eastAsia="zh-CN"/>
              </w:rPr>
              <w:t>）</w:t>
            </w:r>
          </w:p>
        </w:tc>
      </w:tr>
    </w:tbl>
    <w:p w14:paraId="0A60EE00">
      <w:pPr>
        <w:rPr>
          <w:rFonts w:hint="default" w:ascii="宋体" w:hAnsi="宋体" w:cs="宋体"/>
          <w:b/>
          <w:bCs w:val="0"/>
          <w:sz w:val="24"/>
          <w:lang w:val="en-US" w:eastAsia="zh-CN"/>
        </w:rPr>
      </w:pPr>
    </w:p>
    <w:p w14:paraId="1BDBD84E">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6ABC8C31">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092C2AB3">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6C0B8D74">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272B2E8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7DCA48E7">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val="en-US" w:eastAsia="zh-CN"/>
        </w:rPr>
        <w:t>二、</w:t>
      </w:r>
      <w:r>
        <w:rPr>
          <w:rFonts w:hint="eastAsia" w:hAnsi="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79" w:type="dxa"/>
            <w:noWrap w:val="0"/>
            <w:vAlign w:val="center"/>
          </w:tcPr>
          <w:p w14:paraId="437B97D0">
            <w:pPr>
              <w:pStyle w:val="23"/>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6A6AF094">
            <w:pPr>
              <w:pStyle w:val="23"/>
              <w:spacing w:line="480" w:lineRule="exact"/>
              <w:jc w:val="center"/>
              <w:rPr>
                <w:rFonts w:hAnsi="宋体"/>
                <w:b/>
                <w:bCs/>
                <w:color w:val="auto"/>
                <w:sz w:val="24"/>
                <w:szCs w:val="24"/>
              </w:rPr>
            </w:pPr>
            <w:r>
              <w:rPr>
                <w:rFonts w:hint="eastAsia" w:hAnsi="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879" w:type="dxa"/>
            <w:noWrap w:val="0"/>
            <w:vAlign w:val="center"/>
          </w:tcPr>
          <w:p w14:paraId="746E161D">
            <w:pPr>
              <w:pStyle w:val="23"/>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314D5CD0">
            <w:pPr>
              <w:pStyle w:val="23"/>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3F4EE401">
            <w:pPr>
              <w:pStyle w:val="23"/>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33522A4E">
            <w:pPr>
              <w:pStyle w:val="23"/>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1981BCF9">
            <w:pPr>
              <w:pStyle w:val="23"/>
              <w:spacing w:line="480" w:lineRule="exact"/>
              <w:rPr>
                <w:rFonts w:hint="default" w:eastAsia="宋体"/>
                <w:lang w:val="en-US" w:eastAsia="zh-CN"/>
              </w:rPr>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tc>
      </w:tr>
    </w:tbl>
    <w:p w14:paraId="43E8E180">
      <w:pPr>
        <w:rPr>
          <w:rFonts w:hint="eastAsia" w:ascii="宋体" w:hAnsi="宋体" w:cs="宋体"/>
          <w:bCs/>
          <w:sz w:val="24"/>
        </w:rPr>
      </w:pPr>
    </w:p>
    <w:p w14:paraId="03F91870">
      <w:pPr>
        <w:rPr>
          <w:rFonts w:hint="eastAsia" w:ascii="宋体" w:hAnsi="宋体" w:cs="宋体"/>
          <w:bCs/>
          <w:sz w:val="24"/>
        </w:rPr>
      </w:pPr>
    </w:p>
    <w:p w14:paraId="58955E99">
      <w:pPr>
        <w:rPr>
          <w:rFonts w:hint="eastAsia" w:ascii="宋体" w:hAnsi="宋体" w:cs="宋体"/>
          <w:bCs/>
          <w:sz w:val="24"/>
        </w:rPr>
      </w:pPr>
    </w:p>
    <w:p w14:paraId="295FF2A7">
      <w:pPr>
        <w:rPr>
          <w:rFonts w:hint="eastAsia" w:ascii="宋体" w:hAnsi="宋体" w:cs="宋体"/>
          <w:bCs/>
          <w:sz w:val="24"/>
        </w:rPr>
      </w:pPr>
    </w:p>
    <w:p w14:paraId="1AE2C599">
      <w:pPr>
        <w:rPr>
          <w:rFonts w:hint="eastAsia" w:ascii="宋体" w:hAnsi="宋体" w:cs="宋体"/>
          <w:bCs/>
          <w:sz w:val="24"/>
        </w:rPr>
      </w:pPr>
    </w:p>
    <w:p w14:paraId="76989991">
      <w:pPr>
        <w:rPr>
          <w:rFonts w:hint="eastAsia" w:ascii="宋体" w:hAnsi="宋体" w:cs="宋体"/>
          <w:bCs/>
          <w:sz w:val="24"/>
        </w:rPr>
      </w:pPr>
    </w:p>
    <w:p w14:paraId="2F98D2FC">
      <w:pPr>
        <w:rPr>
          <w:rFonts w:hint="eastAsia" w:ascii="宋体" w:hAnsi="宋体" w:cs="宋体"/>
          <w:bCs/>
          <w:sz w:val="24"/>
        </w:rPr>
      </w:pPr>
    </w:p>
    <w:p w14:paraId="7C1B4323">
      <w:pPr>
        <w:rPr>
          <w:rFonts w:hint="eastAsia" w:ascii="宋体" w:hAnsi="宋体" w:cs="宋体"/>
          <w:bCs/>
          <w:sz w:val="24"/>
        </w:rPr>
      </w:pPr>
    </w:p>
    <w:p w14:paraId="18314C24">
      <w:pPr>
        <w:rPr>
          <w:rFonts w:hint="eastAsia" w:ascii="宋体" w:hAnsi="宋体" w:cs="宋体"/>
          <w:bCs/>
          <w:sz w:val="24"/>
        </w:rPr>
      </w:pPr>
    </w:p>
    <w:p w14:paraId="591B43A0">
      <w:pPr>
        <w:pStyle w:val="23"/>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lang w:val="en-US" w:eastAsia="zh-CN"/>
        </w:rPr>
        <w:t>三、</w:t>
      </w:r>
      <w:r>
        <w:rPr>
          <w:rFonts w:hint="eastAsia" w:hAnsi="宋体"/>
          <w:b/>
          <w:color w:val="auto"/>
          <w:sz w:val="24"/>
          <w:szCs w:val="24"/>
        </w:rPr>
        <w:t>本项目的评审因素如下</w:t>
      </w:r>
      <w:r>
        <w:rPr>
          <w:rFonts w:hint="eastAsia" w:hAnsi="宋体"/>
          <w:b/>
          <w:color w:val="auto"/>
          <w:sz w:val="24"/>
          <w:szCs w:val="24"/>
          <w:lang w:eastAsia="zh-CN"/>
        </w:rPr>
        <w:t>：</w:t>
      </w:r>
    </w:p>
    <w:tbl>
      <w:tblPr>
        <w:tblStyle w:val="42"/>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3"/>
        <w:gridCol w:w="2017"/>
        <w:gridCol w:w="6547"/>
      </w:tblGrid>
      <w:tr w14:paraId="0E372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Align w:val="top"/>
          </w:tcPr>
          <w:p w14:paraId="4F686001">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评审因素</w:t>
            </w:r>
          </w:p>
        </w:tc>
        <w:tc>
          <w:tcPr>
            <w:tcW w:w="8564" w:type="dxa"/>
            <w:gridSpan w:val="2"/>
            <w:vAlign w:val="center"/>
          </w:tcPr>
          <w:p w14:paraId="06D91648">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评审标准</w:t>
            </w:r>
          </w:p>
        </w:tc>
      </w:tr>
      <w:tr w14:paraId="4A0E3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Align w:val="top"/>
          </w:tcPr>
          <w:p w14:paraId="3024394E">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分值构成</w:t>
            </w:r>
          </w:p>
        </w:tc>
        <w:tc>
          <w:tcPr>
            <w:tcW w:w="8564" w:type="dxa"/>
            <w:gridSpan w:val="2"/>
            <w:vAlign w:val="center"/>
          </w:tcPr>
          <w:p w14:paraId="611B8AF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商务部分</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分</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技术部分5</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rPr>
              <w:t>分</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报价得分30分</w:t>
            </w:r>
          </w:p>
        </w:tc>
      </w:tr>
      <w:tr w14:paraId="7F3D4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restart"/>
            <w:vAlign w:val="center"/>
          </w:tcPr>
          <w:p w14:paraId="1175CDFA">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技术部分</w:t>
            </w:r>
          </w:p>
        </w:tc>
        <w:tc>
          <w:tcPr>
            <w:tcW w:w="2017" w:type="dxa"/>
            <w:vAlign w:val="center"/>
          </w:tcPr>
          <w:p w14:paraId="2FB409F3">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产品的技术条款响应情况 (</w:t>
            </w:r>
            <w:r>
              <w:rPr>
                <w:rFonts w:hint="eastAsia" w:ascii="宋体" w:hAnsi="宋体" w:eastAsia="宋体" w:cs="宋体"/>
                <w:kern w:val="2"/>
                <w:sz w:val="24"/>
                <w:szCs w:val="24"/>
                <w:lang w:val="en-US" w:eastAsia="zh-CN"/>
              </w:rPr>
              <w:t>27</w:t>
            </w:r>
            <w:r>
              <w:rPr>
                <w:rFonts w:hint="eastAsia" w:ascii="宋体" w:hAnsi="宋体" w:eastAsia="宋体" w:cs="宋体"/>
                <w:kern w:val="2"/>
                <w:sz w:val="24"/>
                <w:szCs w:val="24"/>
              </w:rPr>
              <w:t>分)</w:t>
            </w:r>
          </w:p>
        </w:tc>
        <w:tc>
          <w:tcPr>
            <w:tcW w:w="6547" w:type="dxa"/>
            <w:vAlign w:val="top"/>
          </w:tcPr>
          <w:p w14:paraId="37E302CD">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根据投标人所投报产品的技术条款对招标文件采购需求“技术标准与要求”的响应情况进行评审。 1、所投报产品技术条款完全满足招标文件采购需求“技术标准与要求”中带“▲”的参数要求（</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项），每项得3分；不满足或未响应招标文件要求的不得分。最高得1</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161BDE5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 2、所投报产品技术条款完全满足招标文件采购需求“技术标准与要求”中非带“▲”的参数要求（1</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项），每项得得1分，最高得1</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分。若有任意一种不满足或未响应招标文件要求的不得分。 3、本项最高得分为</w:t>
            </w:r>
            <w:r>
              <w:rPr>
                <w:rFonts w:hint="eastAsia" w:ascii="宋体" w:hAnsi="宋体" w:eastAsia="宋体" w:cs="宋体"/>
                <w:kern w:val="2"/>
                <w:sz w:val="24"/>
                <w:szCs w:val="24"/>
                <w:lang w:val="en-US" w:eastAsia="zh-CN"/>
              </w:rPr>
              <w:t>27</w:t>
            </w:r>
            <w:r>
              <w:rPr>
                <w:rFonts w:hint="eastAsia" w:ascii="宋体" w:hAnsi="宋体" w:eastAsia="宋体" w:cs="宋体"/>
                <w:kern w:val="2"/>
                <w:sz w:val="24"/>
                <w:szCs w:val="24"/>
              </w:rPr>
              <w:t>分。</w:t>
            </w:r>
          </w:p>
        </w:tc>
      </w:tr>
      <w:tr w14:paraId="48E63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203DB435">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32283F7B">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货物安全质量保障方案 (</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分)，（等次分值选择：0;2;5;</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w:t>
            </w:r>
          </w:p>
        </w:tc>
        <w:tc>
          <w:tcPr>
            <w:tcW w:w="6547" w:type="dxa"/>
            <w:vAlign w:val="top"/>
          </w:tcPr>
          <w:p w14:paraId="00344E63">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货物安全质量保障方案（内容包括：①货物制作及生产方案、②货物（含材料）选型、③质量及安全标准、④质量及安全保障措施）进行评审。所提供的货物安全质量保障方案应具针对性、条理清晰，内容明确具体、合理可行，货物（含材料）选型合理、可靠、耐用。 1、货物安全质量保障方案完全满足且优于采购需求的，得</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 2、货物安全质量保障方案完全满足采购需求的，得5分； 3、货物安全质量保障方案部分满足采购需求的，得2分； 4、未提供货物安全质量保障方案的不得分。</w:t>
            </w:r>
          </w:p>
        </w:tc>
      </w:tr>
      <w:tr w14:paraId="0AD68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2A2FC509">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7ED5EF61">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安装调试方案 (</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分)，（等次分值选择：0;</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w:t>
            </w:r>
          </w:p>
        </w:tc>
        <w:tc>
          <w:tcPr>
            <w:tcW w:w="6547" w:type="dxa"/>
            <w:vAlign w:val="top"/>
          </w:tcPr>
          <w:p w14:paraId="1B2C8EAC">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安装调试方案（内容包括：①安装调试方案、②安装调试技术重点难点分析及应对措施、③安装人员安排计划）进行评审。所提供的安装调试方案应具针对性、条理清晰，内容明确具体、合理可行。 1、安装调试方案完全满足且优于采购需求的，得</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分； 2、安装调试方案完全满足采购需求的，得</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 3、安装调试方案部分满足采购需求的，得</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分； 4、未提供安装调试方案的不得分。</w:t>
            </w:r>
          </w:p>
        </w:tc>
      </w:tr>
      <w:tr w14:paraId="6C261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647FCB81">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2E779955">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供货进度计划和保障措施 (</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分)，（等次分值选择：0;</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w:t>
            </w:r>
          </w:p>
        </w:tc>
        <w:tc>
          <w:tcPr>
            <w:tcW w:w="6547" w:type="dxa"/>
            <w:vAlign w:val="top"/>
          </w:tcPr>
          <w:p w14:paraId="366440E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供货进度计划和保障措施（内容包括：①供货进度计划、②供货进度保障措施、③供货人员及车辆安排计划）进行评审。所提供的供货进度计划和保障措施应具针对性、条理清晰，内容明确具体、合理可行。 1、供货进度计划和保障措施完全满足且优于采购需求的，得</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分； 2、供货进度计划和保障措施完全满足采购需求的，得4分； 3、供货进度计划和保障措施部分满足采购需求的，得</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分； 4、未提供货物供货方案的不得分。</w:t>
            </w:r>
          </w:p>
        </w:tc>
      </w:tr>
      <w:tr w14:paraId="7CF24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restart"/>
            <w:vAlign w:val="center"/>
          </w:tcPr>
          <w:p w14:paraId="0BD534B5">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商务部分</w:t>
            </w:r>
          </w:p>
        </w:tc>
        <w:tc>
          <w:tcPr>
            <w:tcW w:w="2017" w:type="dxa"/>
            <w:vAlign w:val="center"/>
          </w:tcPr>
          <w:p w14:paraId="74CB5861">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同类项目业绩 (</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分)，（等次分值选择：0;3;</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w:t>
            </w:r>
          </w:p>
        </w:tc>
        <w:tc>
          <w:tcPr>
            <w:tcW w:w="6547" w:type="dxa"/>
            <w:vAlign w:val="top"/>
          </w:tcPr>
          <w:p w14:paraId="6A58EF4A">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投标人2021年1月1日至今（以合同签订日期为准）具有家具类项目业绩的，每项得3分，未提供的不得分。本项最高得分为</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分。 注：需在投标文件中提供项目合同关键页（须体现出签订合同双方的单位名称、签订合同双方的落款盖章、签订日期、项目主要内容等的关键页）复印件，并加盖投标人单位公章，否则不得分。</w:t>
            </w:r>
          </w:p>
        </w:tc>
      </w:tr>
      <w:tr w14:paraId="17976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Merge w:val="continue"/>
            <w:vAlign w:val="top"/>
          </w:tcPr>
          <w:p w14:paraId="319B6B1A">
            <w:pPr>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sz w:val="24"/>
                <w:szCs w:val="24"/>
              </w:rPr>
            </w:pPr>
          </w:p>
        </w:tc>
        <w:tc>
          <w:tcPr>
            <w:tcW w:w="2017" w:type="dxa"/>
            <w:vAlign w:val="center"/>
          </w:tcPr>
          <w:p w14:paraId="219D31B2">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售后服务方案 (</w:t>
            </w: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分)，（等次分值选择：0;2;</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w:t>
            </w:r>
          </w:p>
        </w:tc>
        <w:tc>
          <w:tcPr>
            <w:tcW w:w="6547" w:type="dxa"/>
            <w:vAlign w:val="top"/>
          </w:tcPr>
          <w:p w14:paraId="59B34E91">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投标人针对本项目采购需求所提供的售后服务方案（内容包括：①质量保证期（或保修期）响应情况；②维修响应时间承诺；③售后服务人员安排计划；④应急维修措施）进行评审。所提供的售后服务方案应具针对性、条理清晰，内容明确具体、合理可行。 1、售后服务方案完全满足且优于采购需求的，得</w:t>
            </w:r>
            <w:r>
              <w:rPr>
                <w:rFonts w:hint="eastAsia" w:ascii="宋体" w:hAnsi="宋体" w:eastAsia="宋体" w:cs="宋体"/>
                <w:kern w:val="2"/>
                <w:sz w:val="24"/>
                <w:szCs w:val="24"/>
                <w:lang w:val="en-US" w:eastAsia="zh-CN"/>
              </w:rPr>
              <w:t>11</w:t>
            </w:r>
            <w:r>
              <w:rPr>
                <w:rFonts w:hint="eastAsia" w:ascii="宋体" w:hAnsi="宋体" w:eastAsia="宋体" w:cs="宋体"/>
                <w:kern w:val="2"/>
                <w:sz w:val="24"/>
                <w:szCs w:val="24"/>
              </w:rPr>
              <w:t>分； 2、售后服务方案完全满足采购需求的，得</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 3、售后服务方案部分满足采购需求的，得2分； 4、未提供售后服务方案的不得分。</w:t>
            </w:r>
          </w:p>
        </w:tc>
      </w:tr>
      <w:tr w14:paraId="2F27B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3" w:type="dxa"/>
            <w:vAlign w:val="center"/>
          </w:tcPr>
          <w:p w14:paraId="47CB2E77">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w:t>
            </w:r>
          </w:p>
        </w:tc>
        <w:tc>
          <w:tcPr>
            <w:tcW w:w="2017" w:type="dxa"/>
            <w:vAlign w:val="center"/>
          </w:tcPr>
          <w:p w14:paraId="0C16C84C">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投标报价得分 (30分)</w:t>
            </w:r>
          </w:p>
        </w:tc>
        <w:tc>
          <w:tcPr>
            <w:tcW w:w="6547" w:type="dxa"/>
            <w:vAlign w:val="top"/>
          </w:tcPr>
          <w:p w14:paraId="437DBAD3">
            <w:pPr>
              <w:pStyle w:val="226"/>
              <w:keepNext w:val="0"/>
              <w:keepLines w:val="0"/>
              <w:pageBreakBefore w:val="0"/>
              <w:widowControl/>
              <w:kinsoku/>
              <w:wordWrap/>
              <w:overflowPunct/>
              <w:topLinePunct w:val="0"/>
              <w:autoSpaceDE/>
              <w:autoSpaceDN/>
              <w:bidi w:val="0"/>
              <w:adjustRightInd/>
              <w:snapToGrid/>
              <w:spacing w:line="52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404A54A">
      <w:pPr>
        <w:rPr>
          <w:rFonts w:hint="eastAsia" w:ascii="宋体" w:hAnsi="宋体" w:eastAsia="宋体" w:cs="宋体"/>
          <w:b/>
          <w:bCs/>
          <w:color w:val="auto"/>
          <w:sz w:val="22"/>
          <w:szCs w:val="28"/>
          <w:lang w:val="en-US" w:eastAsia="zh-CN"/>
        </w:rPr>
      </w:pPr>
    </w:p>
    <w:p w14:paraId="4E83C5D2">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一</w:t>
      </w:r>
      <w:r>
        <w:rPr>
          <w:rFonts w:hint="eastAsia" w:hAnsi="宋体"/>
          <w:color w:val="auto"/>
          <w:sz w:val="24"/>
          <w:lang w:eastAsia="zh-CN"/>
        </w:rPr>
        <w:t>）</w:t>
      </w:r>
      <w:r>
        <w:rPr>
          <w:rFonts w:hint="eastAsia" w:hAnsi="宋体"/>
          <w:color w:val="auto"/>
          <w:sz w:val="24"/>
        </w:rPr>
        <w:t>技术评定</w:t>
      </w:r>
    </w:p>
    <w:p w14:paraId="40D9B3EE">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29CA11CC">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1BEE7018">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二</w:t>
      </w:r>
      <w:r>
        <w:rPr>
          <w:rFonts w:hint="eastAsia" w:hAnsi="宋体"/>
          <w:color w:val="auto"/>
          <w:sz w:val="24"/>
          <w:lang w:eastAsia="zh-CN"/>
        </w:rPr>
        <w:t>）</w:t>
      </w:r>
      <w:r>
        <w:rPr>
          <w:rFonts w:hint="eastAsia" w:hAnsi="宋体"/>
          <w:color w:val="auto"/>
          <w:sz w:val="24"/>
        </w:rPr>
        <w:t>商务评定</w:t>
      </w:r>
    </w:p>
    <w:p w14:paraId="49761E70">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1F507162">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55990588">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三</w:t>
      </w:r>
      <w:r>
        <w:rPr>
          <w:rFonts w:hint="eastAsia" w:hAnsi="宋体"/>
          <w:color w:val="auto"/>
          <w:sz w:val="24"/>
          <w:lang w:eastAsia="zh-CN"/>
        </w:rPr>
        <w:t>）</w:t>
      </w:r>
      <w:r>
        <w:rPr>
          <w:rFonts w:hint="eastAsia" w:hAnsi="宋体"/>
          <w:color w:val="auto"/>
          <w:sz w:val="24"/>
        </w:rPr>
        <w:t>价格评定</w:t>
      </w:r>
    </w:p>
    <w:p w14:paraId="62C92AFB">
      <w:pPr>
        <w:pStyle w:val="23"/>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049E5AF2">
      <w:pPr>
        <w:pStyle w:val="23"/>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15210018">
      <w:pPr>
        <w:pStyle w:val="23"/>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0E1402D1">
      <w:pPr>
        <w:pStyle w:val="23"/>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6126A4A4">
      <w:pPr>
        <w:pStyle w:val="23"/>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7A2DFABF">
      <w:pPr>
        <w:pStyle w:val="23"/>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C55836C">
      <w:pPr>
        <w:pStyle w:val="23"/>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30</w:t>
      </w:r>
      <w:r>
        <w:rPr>
          <w:rFonts w:hint="eastAsia" w:hAnsi="宋体"/>
          <w:color w:val="auto"/>
          <w:sz w:val="24"/>
          <w:szCs w:val="24"/>
        </w:rPr>
        <w:t>分。其他响应人的价格分按照下列公式计算：</w:t>
      </w:r>
    </w:p>
    <w:p w14:paraId="6DF0F5BF">
      <w:pPr>
        <w:pStyle w:val="23"/>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30</w:t>
      </w:r>
      <w:r>
        <w:rPr>
          <w:rFonts w:hint="eastAsia" w:hAnsi="宋体"/>
          <w:color w:val="auto"/>
          <w:sz w:val="24"/>
          <w:szCs w:val="24"/>
        </w:rPr>
        <w:t>。</w:t>
      </w:r>
    </w:p>
    <w:p w14:paraId="358CE9EA">
      <w:pPr>
        <w:pStyle w:val="23"/>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5946F745">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四</w:t>
      </w:r>
      <w:r>
        <w:rPr>
          <w:rFonts w:hint="eastAsia" w:hAnsi="宋体"/>
          <w:color w:val="auto"/>
          <w:sz w:val="24"/>
          <w:lang w:eastAsia="zh-CN"/>
        </w:rPr>
        <w:t>）</w:t>
      </w:r>
      <w:r>
        <w:rPr>
          <w:rFonts w:hint="eastAsia" w:hAnsi="宋体"/>
          <w:color w:val="auto"/>
          <w:sz w:val="24"/>
        </w:rPr>
        <w:t>综合评估分的计算</w:t>
      </w:r>
    </w:p>
    <w:p w14:paraId="460D4D4E">
      <w:pPr>
        <w:pStyle w:val="23"/>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04998189">
      <w:pPr>
        <w:pStyle w:val="23"/>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704F9C65">
      <w:pPr>
        <w:pStyle w:val="23"/>
        <w:spacing w:line="480" w:lineRule="exact"/>
        <w:ind w:firstLine="360" w:firstLineChars="150"/>
        <w:rPr>
          <w:sz w:val="36"/>
          <w:szCs w:val="28"/>
        </w:rPr>
      </w:pPr>
      <w:r>
        <w:rPr>
          <w:rFonts w:hint="eastAsia" w:hAnsi="宋体"/>
          <w:color w:val="auto"/>
          <w:sz w:val="24"/>
          <w:szCs w:val="24"/>
        </w:rPr>
        <w:t>（3）</w:t>
      </w:r>
      <w:r>
        <w:rPr>
          <w:rFonts w:hint="eastAsia" w:hAnsi="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小组根据评审情况推荐成交候选供应商，开平市中心医院从成交候选供应商名单中确定</w:t>
      </w:r>
      <w:bookmarkStart w:id="155" w:name="_Hlk18301305"/>
      <w:r>
        <w:rPr>
          <w:rFonts w:hint="eastAsia" w:hAnsi="宋体" w:cs="宋体"/>
          <w:b/>
          <w:color w:val="auto"/>
          <w:sz w:val="24"/>
          <w:u w:val="single"/>
        </w:rPr>
        <w:t>1家</w:t>
      </w:r>
      <w:bookmarkEnd w:id="155"/>
      <w:r>
        <w:rPr>
          <w:rFonts w:hint="eastAsia" w:hAnsi="宋体" w:cs="宋体"/>
          <w:b/>
          <w:color w:val="auto"/>
          <w:sz w:val="24"/>
        </w:rPr>
        <w:t>成交供应</w:t>
      </w:r>
      <w:r>
        <w:rPr>
          <w:rFonts w:hint="eastAsia" w:hAnsi="宋体" w:cs="宋体"/>
          <w:b/>
          <w:color w:val="auto"/>
          <w:sz w:val="24"/>
          <w:szCs w:val="22"/>
        </w:rPr>
        <w:t>商。</w:t>
      </w:r>
      <w:r>
        <w:rPr>
          <w:sz w:val="36"/>
          <w:szCs w:val="28"/>
        </w:rPr>
        <w:br w:type="page"/>
      </w:r>
    </w:p>
    <w:p w14:paraId="61F449FF">
      <w:pPr>
        <w:spacing w:line="360" w:lineRule="auto"/>
        <w:ind w:firstLine="720" w:firstLineChars="200"/>
        <w:rPr>
          <w:sz w:val="36"/>
          <w:szCs w:val="28"/>
        </w:rPr>
      </w:pPr>
    </w:p>
    <w:p w14:paraId="111A28EC">
      <w:pPr>
        <w:pStyle w:val="3"/>
        <w:keepNext w:val="0"/>
        <w:keepLines w:val="0"/>
        <w:spacing w:before="0" w:after="0" w:line="360" w:lineRule="auto"/>
        <w:jc w:val="center"/>
        <w:rPr>
          <w:rFonts w:ascii="Times New Roman"/>
          <w:sz w:val="36"/>
          <w:szCs w:val="28"/>
        </w:rPr>
      </w:pPr>
      <w:bookmarkStart w:id="156" w:name="_Toc169861824"/>
      <w:r>
        <w:rPr>
          <w:rFonts w:ascii="Times New Roman"/>
          <w:sz w:val="36"/>
          <w:szCs w:val="28"/>
        </w:rPr>
        <w:t>第</w:t>
      </w:r>
      <w:r>
        <w:rPr>
          <w:rFonts w:hint="eastAsia" w:ascii="Times New Roman"/>
          <w:sz w:val="36"/>
          <w:szCs w:val="28"/>
          <w:lang w:val="en-US" w:eastAsia="zh-CN"/>
        </w:rPr>
        <w:t>四</w:t>
      </w:r>
      <w:r>
        <w:rPr>
          <w:rFonts w:ascii="Times New Roman"/>
          <w:sz w:val="36"/>
          <w:szCs w:val="28"/>
        </w:rPr>
        <w:t>部分</w:t>
      </w:r>
      <w:bookmarkEnd w:id="144"/>
      <w:bookmarkEnd w:id="145"/>
      <w:bookmarkEnd w:id="146"/>
      <w:bookmarkEnd w:id="147"/>
      <w:bookmarkEnd w:id="148"/>
      <w:bookmarkStart w:id="157" w:name="_Toc51939458"/>
      <w:bookmarkStart w:id="158" w:name="_Toc52021540"/>
      <w:bookmarkStart w:id="159" w:name="_Toc56353013"/>
      <w:bookmarkStart w:id="160" w:name="_Toc231028109"/>
      <w:bookmarkStart w:id="161" w:name="_Toc52027928"/>
      <w:bookmarkStart w:id="162" w:name="_Toc51756493"/>
      <w:r>
        <w:rPr>
          <w:rFonts w:hint="eastAsia" w:ascii="Times New Roman"/>
          <w:sz w:val="36"/>
          <w:szCs w:val="28"/>
        </w:rPr>
        <w:t xml:space="preserve"> 合同</w:t>
      </w:r>
      <w:r>
        <w:rPr>
          <w:rFonts w:ascii="Times New Roman"/>
          <w:sz w:val="36"/>
          <w:szCs w:val="28"/>
        </w:rPr>
        <w:t>书格式</w:t>
      </w:r>
      <w:bookmarkEnd w:id="156"/>
      <w:bookmarkEnd w:id="157"/>
      <w:bookmarkEnd w:id="158"/>
      <w:bookmarkEnd w:id="159"/>
      <w:bookmarkEnd w:id="160"/>
      <w:bookmarkEnd w:id="161"/>
      <w:bookmarkEnd w:id="162"/>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49"/>
    <w:bookmarkEnd w:id="150"/>
    <w:bookmarkEnd w:id="151"/>
    <w:bookmarkEnd w:id="152"/>
    <w:bookmarkEnd w:id="153"/>
    <w:bookmarkEnd w:id="154"/>
    <w:p w14:paraId="7F3B997F">
      <w:pPr>
        <w:widowControl/>
        <w:jc w:val="center"/>
        <w:rPr>
          <w:rFonts w:hint="eastAsia" w:ascii="宋体" w:hAnsi="宋体" w:eastAsia="宋体" w:cs="宋体"/>
          <w:b/>
          <w:bCs/>
          <w:kern w:val="0"/>
          <w:sz w:val="36"/>
          <w:szCs w:val="36"/>
        </w:rPr>
      </w:pPr>
      <w:bookmarkStart w:id="163" w:name="_Toc463071832"/>
      <w:bookmarkStart w:id="164" w:name="_Toc130745579"/>
      <w:bookmarkStart w:id="165" w:name="_Toc206902161"/>
      <w:bookmarkStart w:id="166" w:name="_Toc463071379"/>
      <w:bookmarkStart w:id="167" w:name="_Toc465148449"/>
      <w:bookmarkStart w:id="168" w:name="_Toc179863374"/>
      <w:bookmarkStart w:id="169" w:name="_Toc463067548"/>
      <w:bookmarkStart w:id="170" w:name="_Toc130700696"/>
      <w:bookmarkStart w:id="171" w:name="_Toc525038118"/>
      <w:bookmarkStart w:id="172" w:name="_Toc68692538"/>
      <w:bookmarkStart w:id="173" w:name="_Toc56353015"/>
      <w:bookmarkStart w:id="174" w:name="_Toc51939472"/>
      <w:bookmarkStart w:id="175" w:name="_Toc52027930"/>
      <w:bookmarkStart w:id="176" w:name="_Toc52021542"/>
      <w:bookmarkStart w:id="177" w:name="_Toc51756507"/>
      <w:bookmarkStart w:id="178" w:name="_Toc467236767"/>
      <w:bookmarkStart w:id="179" w:name="_Toc454701404"/>
      <w:bookmarkStart w:id="180" w:name="_Toc486671571"/>
      <w:bookmarkStart w:id="181" w:name="_Toc476976199"/>
      <w:bookmarkStart w:id="182" w:name="_Toc458262637"/>
      <w:r>
        <w:br w:type="page"/>
      </w:r>
      <w:bookmarkStart w:id="183" w:name="_Toc78354640"/>
      <w:r>
        <w:rPr>
          <w:rFonts w:hint="eastAsia" w:ascii="宋体" w:hAnsi="宋体" w:eastAsia="宋体" w:cs="宋体"/>
          <w:b/>
          <w:bCs/>
          <w:color w:val="auto"/>
          <w:kern w:val="0"/>
          <w:sz w:val="44"/>
          <w:szCs w:val="44"/>
          <w:lang w:eastAsia="zh-CN"/>
        </w:rPr>
        <w:t>开平市中心医院病案密集架采购项目</w:t>
      </w:r>
      <w:r>
        <w:rPr>
          <w:rFonts w:hint="eastAsia" w:ascii="宋体" w:hAnsi="宋体" w:eastAsia="宋体" w:cs="宋体"/>
          <w:b/>
          <w:bCs/>
          <w:color w:val="auto"/>
          <w:kern w:val="0"/>
          <w:sz w:val="44"/>
          <w:szCs w:val="44"/>
        </w:rPr>
        <w:t>购销合同</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55"/>
        <w:gridCol w:w="1440"/>
        <w:gridCol w:w="1943"/>
        <w:gridCol w:w="898"/>
        <w:gridCol w:w="898"/>
        <w:gridCol w:w="898"/>
        <w:gridCol w:w="898"/>
        <w:gridCol w:w="900"/>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55" w:type="dxa"/>
            <w:noWrap w:val="0"/>
            <w:vAlign w:val="center"/>
          </w:tcPr>
          <w:p w14:paraId="41CE99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w:t>
            </w:r>
          </w:p>
          <w:p w14:paraId="53A931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83" w:type="dxa"/>
            <w:gridSpan w:val="2"/>
            <w:noWrap w:val="0"/>
            <w:vAlign w:val="center"/>
          </w:tcPr>
          <w:p w14:paraId="0B33CE8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898" w:type="dxa"/>
            <w:noWrap w:val="0"/>
            <w:vAlign w:val="center"/>
          </w:tcPr>
          <w:p w14:paraId="3BF25F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898"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898" w:type="dxa"/>
            <w:noWrap w:val="0"/>
            <w:vAlign w:val="center"/>
          </w:tcPr>
          <w:p w14:paraId="1D73331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单位</w:t>
            </w:r>
          </w:p>
        </w:tc>
        <w:tc>
          <w:tcPr>
            <w:tcW w:w="898" w:type="dxa"/>
            <w:noWrap w:val="0"/>
            <w:vAlign w:val="center"/>
          </w:tcPr>
          <w:p w14:paraId="2DA65B0F">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单价（元）</w:t>
            </w:r>
          </w:p>
        </w:tc>
        <w:tc>
          <w:tcPr>
            <w:tcW w:w="900" w:type="dxa"/>
            <w:noWrap w:val="0"/>
            <w:vAlign w:val="center"/>
          </w:tcPr>
          <w:p w14:paraId="6685EB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73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55" w:type="dxa"/>
            <w:noWrap w:val="0"/>
            <w:vAlign w:val="center"/>
          </w:tcPr>
          <w:p w14:paraId="29A49322">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无障碍电梯</w:t>
            </w:r>
          </w:p>
        </w:tc>
        <w:tc>
          <w:tcPr>
            <w:tcW w:w="3383" w:type="dxa"/>
            <w:gridSpan w:val="2"/>
            <w:noWrap w:val="0"/>
            <w:vAlign w:val="center"/>
          </w:tcPr>
          <w:p w14:paraId="729477A3">
            <w:pPr>
              <w:spacing w:line="360" w:lineRule="auto"/>
              <w:jc w:val="center"/>
              <w:rPr>
                <w:rFonts w:hint="eastAsia" w:ascii="宋体" w:hAnsi="宋体" w:eastAsia="宋体" w:cs="宋体"/>
                <w:color w:val="000000"/>
                <w:sz w:val="24"/>
                <w:szCs w:val="24"/>
              </w:rPr>
            </w:pPr>
          </w:p>
        </w:tc>
        <w:tc>
          <w:tcPr>
            <w:tcW w:w="898" w:type="dxa"/>
            <w:noWrap w:val="0"/>
            <w:vAlign w:val="center"/>
          </w:tcPr>
          <w:p w14:paraId="317B96C8">
            <w:pPr>
              <w:spacing w:line="360" w:lineRule="auto"/>
              <w:jc w:val="center"/>
              <w:rPr>
                <w:rFonts w:hint="eastAsia" w:ascii="宋体" w:hAnsi="宋体" w:eastAsia="宋体" w:cs="宋体"/>
                <w:color w:val="000000"/>
                <w:sz w:val="24"/>
                <w:szCs w:val="24"/>
              </w:rPr>
            </w:pPr>
          </w:p>
        </w:tc>
        <w:tc>
          <w:tcPr>
            <w:tcW w:w="898" w:type="dxa"/>
            <w:noWrap w:val="0"/>
            <w:vAlign w:val="center"/>
          </w:tcPr>
          <w:p w14:paraId="0167D2EB">
            <w:pPr>
              <w:spacing w:line="360" w:lineRule="auto"/>
              <w:jc w:val="center"/>
              <w:rPr>
                <w:rFonts w:hint="eastAsia" w:ascii="宋体" w:hAnsi="宋体" w:eastAsia="宋体" w:cs="宋体"/>
                <w:color w:val="000000"/>
                <w:sz w:val="24"/>
                <w:szCs w:val="24"/>
              </w:rPr>
            </w:pPr>
          </w:p>
        </w:tc>
        <w:tc>
          <w:tcPr>
            <w:tcW w:w="898" w:type="dxa"/>
            <w:noWrap w:val="0"/>
            <w:vAlign w:val="center"/>
          </w:tcPr>
          <w:p w14:paraId="3D14BDD0">
            <w:pPr>
              <w:spacing w:line="360" w:lineRule="auto"/>
              <w:jc w:val="center"/>
              <w:rPr>
                <w:rFonts w:hint="eastAsia" w:ascii="宋体" w:hAnsi="宋体" w:eastAsia="宋体" w:cs="宋体"/>
                <w:color w:val="000000"/>
                <w:sz w:val="24"/>
                <w:szCs w:val="24"/>
              </w:rPr>
            </w:pPr>
          </w:p>
        </w:tc>
        <w:tc>
          <w:tcPr>
            <w:tcW w:w="898" w:type="dxa"/>
            <w:noWrap w:val="0"/>
            <w:vAlign w:val="center"/>
          </w:tcPr>
          <w:p w14:paraId="2D35E4B2">
            <w:pPr>
              <w:spacing w:line="360" w:lineRule="auto"/>
              <w:jc w:val="center"/>
              <w:rPr>
                <w:rFonts w:hint="eastAsia" w:ascii="宋体" w:hAnsi="宋体" w:eastAsia="宋体" w:cs="宋体"/>
                <w:color w:val="000000"/>
                <w:sz w:val="24"/>
                <w:szCs w:val="24"/>
              </w:rPr>
            </w:pPr>
          </w:p>
        </w:tc>
        <w:tc>
          <w:tcPr>
            <w:tcW w:w="900" w:type="dxa"/>
            <w:noWrap w:val="0"/>
            <w:vAlign w:val="center"/>
          </w:tcPr>
          <w:p w14:paraId="509D5CA7">
            <w:pPr>
              <w:spacing w:line="360" w:lineRule="auto"/>
              <w:jc w:val="center"/>
              <w:rPr>
                <w:rFonts w:hint="eastAsia" w:ascii="宋体" w:hAnsi="宋体" w:eastAsia="宋体" w:cs="宋体"/>
                <w:color w:val="000000"/>
                <w:sz w:val="24"/>
                <w:szCs w:val="24"/>
              </w:rPr>
            </w:pPr>
          </w:p>
        </w:tc>
      </w:tr>
      <w:tr w14:paraId="0A9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4663CBE0">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p w14:paraId="73833442">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（日历</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tc>
        <w:tc>
          <w:tcPr>
            <w:tcW w:w="1440" w:type="dxa"/>
            <w:noWrap w:val="0"/>
            <w:vAlign w:val="center"/>
          </w:tcPr>
          <w:p w14:paraId="143DA91F">
            <w:pPr>
              <w:pStyle w:val="2"/>
              <w:spacing w:line="360" w:lineRule="auto"/>
              <w:jc w:val="center"/>
              <w:rPr>
                <w:rFonts w:hint="eastAsia" w:ascii="宋体" w:hAnsi="宋体" w:eastAsia="宋体" w:cs="宋体"/>
                <w:sz w:val="24"/>
                <w:szCs w:val="24"/>
              </w:rPr>
            </w:pPr>
          </w:p>
        </w:tc>
        <w:tc>
          <w:tcPr>
            <w:tcW w:w="1943" w:type="dxa"/>
            <w:noWrap w:val="0"/>
            <w:vAlign w:val="center"/>
          </w:tcPr>
          <w:p w14:paraId="4FF026AE">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4492" w:type="dxa"/>
            <w:gridSpan w:val="5"/>
            <w:noWrap w:val="0"/>
            <w:vAlign w:val="center"/>
          </w:tcPr>
          <w:p w14:paraId="2C58F02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7A1C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5E28C90B">
            <w:pPr>
              <w:pStyle w:val="2"/>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875" w:type="dxa"/>
            <w:gridSpan w:val="7"/>
            <w:noWrap w:val="0"/>
            <w:vAlign w:val="center"/>
          </w:tcPr>
          <w:p w14:paraId="701CD0C9">
            <w:pPr>
              <w:spacing w:line="360" w:lineRule="auto"/>
              <w:jc w:val="center"/>
              <w:rPr>
                <w:rFonts w:hint="eastAsia" w:ascii="宋体" w:hAnsi="宋体" w:eastAsia="宋体" w:cs="宋体"/>
                <w:color w:val="000000"/>
                <w:sz w:val="24"/>
                <w:szCs w:val="24"/>
              </w:rPr>
            </w:pPr>
          </w:p>
        </w:tc>
      </w:tr>
    </w:tbl>
    <w:p w14:paraId="74A00E77">
      <w:pPr>
        <w:spacing w:line="360" w:lineRule="auto"/>
        <w:rPr>
          <w:rFonts w:hint="eastAsia" w:ascii="宋体" w:hAnsi="宋体" w:eastAsia="宋体" w:cs="宋体"/>
          <w:b/>
          <w:bCs/>
          <w:sz w:val="24"/>
          <w:szCs w:val="24"/>
        </w:rPr>
      </w:pPr>
    </w:p>
    <w:p w14:paraId="5205E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合同服务期：</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   月   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   月   日</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28812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运输、安装和验收</w:t>
      </w:r>
    </w:p>
    <w:p w14:paraId="3FDAC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乙方确保货物安全无损地运抵甲方指定现场，并承担货物的运费、装卸费等费用。乙方还应在发货前通知甲方货物的运输信息以及到货时间，以便甲方做好验货准备。</w:t>
      </w:r>
    </w:p>
    <w:p w14:paraId="38B0C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4.2甲乙双方对货物进行开箱清点检查验收，如果发现数量不足或有质量、技术等问题，乙方应</w:t>
      </w: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内，按照甲方的要求，采取补足、更换或退货等处理措施，并承担由此发生的一切损失和费用。</w:t>
      </w:r>
    </w:p>
    <w:p w14:paraId="4ED76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4.3甲、乙双方在符合国家相关技术标准的基础上，根据购置货物的技术标准以及采购或招标时乙方承诺的原厂的技术参数为标准对货物进行技术验收。</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验收合格及正常使用</w:t>
      </w:r>
      <w:r>
        <w:rPr>
          <w:rFonts w:hint="eastAsia" w:ascii="宋体" w:hAnsi="宋体" w:eastAsia="宋体" w:cs="宋体"/>
          <w:sz w:val="24"/>
          <w:szCs w:val="24"/>
        </w:rPr>
        <w:t>后乙方应向甲方出具与货物总价金额相对应的发票。甲方在收到乙方发票并确认无误后，</w:t>
      </w:r>
      <w:r>
        <w:rPr>
          <w:rFonts w:hint="eastAsia" w:ascii="宋体" w:hAnsi="宋体" w:eastAsia="宋体" w:cs="宋体"/>
          <w:color w:val="000000"/>
          <w:sz w:val="24"/>
          <w:szCs w:val="24"/>
        </w:rPr>
        <w:t>应在</w:t>
      </w:r>
      <w:r>
        <w:rPr>
          <w:rFonts w:hint="eastAsia" w:ascii="宋体" w:hAnsi="宋体" w:eastAsia="宋体" w:cs="宋体"/>
          <w:color w:val="auto"/>
          <w:sz w:val="24"/>
          <w:szCs w:val="24"/>
          <w:u w:val="single"/>
        </w:rPr>
        <w:t>90个工作日</w:t>
      </w:r>
      <w:r>
        <w:rPr>
          <w:rFonts w:hint="eastAsia" w:ascii="宋体" w:hAnsi="宋体" w:eastAsia="宋体" w:cs="宋体"/>
          <w:color w:val="000000"/>
          <w:sz w:val="24"/>
          <w:szCs w:val="24"/>
        </w:rPr>
        <w:t>内以</w:t>
      </w:r>
      <w:r>
        <w:rPr>
          <w:rFonts w:hint="eastAsia" w:ascii="宋体" w:hAnsi="宋体" w:eastAsia="宋体" w:cs="宋体"/>
          <w:sz w:val="24"/>
          <w:szCs w:val="24"/>
        </w:rPr>
        <w:t>银行汇款方式向乙方指定银行账户一次性支付货款。</w:t>
      </w:r>
    </w:p>
    <w:p w14:paraId="4533D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质量保证及售后服务</w:t>
      </w:r>
    </w:p>
    <w:p w14:paraId="29BD7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内负责采用符合合同规定的规格、质量和性能要求的货物来更换有缺陷的部分，其费用由乙方负担。同时，乙方应按本合同规定，相应延长修补或更换件的质量保证期。</w:t>
      </w:r>
    </w:p>
    <w:p w14:paraId="16DF0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6.2乙方应提供质保期为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r>
        <w:rPr>
          <w:rFonts w:hint="eastAsia" w:ascii="宋体" w:hAnsi="宋体" w:eastAsia="宋体" w:cs="宋体"/>
          <w:sz w:val="24"/>
          <w:szCs w:val="24"/>
          <w:u w:val="single"/>
        </w:rPr>
        <w:t xml:space="preserve">   </w:t>
      </w:r>
      <w:r>
        <w:rPr>
          <w:rFonts w:hint="eastAsia" w:ascii="宋体" w:hAnsi="宋体" w:eastAsia="宋体" w:cs="宋体"/>
          <w:sz w:val="24"/>
          <w:szCs w:val="24"/>
        </w:rPr>
        <w:t>个月内出现质量问题，免费调换并承担换货造成的所有费用。质保期的期限应以甲乙双方的验收合格之日起计算。</w:t>
      </w:r>
    </w:p>
    <w:p w14:paraId="7BF09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6.3无条件接受18号令的相关条款规定。</w:t>
      </w:r>
    </w:p>
    <w:p w14:paraId="41F00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索赔条款</w:t>
      </w:r>
    </w:p>
    <w:p w14:paraId="423F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7.1如经国家相关部门检验确认货物不符合本合同约定，甲方有权选择下列方式之一要求乙方进行补救：</w:t>
      </w:r>
    </w:p>
    <w:p w14:paraId="045FC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7.1.1同意甲方退货，及时为甲方办理退货手续，并将全额货款在货物被确认为不符合合同约定之日起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日内偿还给甲方，并由乙方负担因退货而发生的一切直接损失和费用。</w:t>
      </w:r>
    </w:p>
    <w:p w14:paraId="1710C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7.1.2按照货物的疵劣程度、损坏的范围和甲方所遭受的损失，乙方折价收取或在货物被确认为不符合同约定之日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w:t>
      </w:r>
      <w:r>
        <w:rPr>
          <w:rFonts w:hint="eastAsia" w:ascii="宋体" w:hAnsi="宋体" w:eastAsia="宋体" w:cs="宋体"/>
          <w:sz w:val="24"/>
          <w:szCs w:val="24"/>
        </w:rPr>
        <w:t>内向甲方返还已收取的部分货款。</w:t>
      </w:r>
    </w:p>
    <w:p w14:paraId="0056B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7.1.3乙方应在货物被确认为不符合约定之日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日</w:t>
      </w:r>
      <w:r>
        <w:rPr>
          <w:rFonts w:hint="eastAsia" w:ascii="宋体" w:hAnsi="宋体" w:eastAsia="宋体" w:cs="宋体"/>
          <w:sz w:val="24"/>
          <w:szCs w:val="24"/>
        </w:rPr>
        <w:t>内调换有瑕疵的货物，换货必须全新并符合本合同规定的规格，质量和性能等，乙方并负责因此而产生的一切费用和甲方的一切直接损失。</w:t>
      </w:r>
    </w:p>
    <w:p w14:paraId="6380E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宋体" w:hAnsi="宋体" w:eastAsia="宋体" w:cs="宋体"/>
          <w:sz w:val="24"/>
          <w:szCs w:val="24"/>
          <w:u w:val="single"/>
        </w:rPr>
        <w:t>15</w:t>
      </w:r>
      <w:r>
        <w:rPr>
          <w:rFonts w:hint="eastAsia" w:ascii="宋体" w:hAnsi="宋体" w:eastAsia="宋体" w:cs="宋体"/>
          <w:sz w:val="24"/>
          <w:szCs w:val="24"/>
        </w:rPr>
        <w:t>天仍不交货或提供服务的，甲方有权终止合同并要求退货退款，乙方应在甲方要求终止本协议之日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日内将甲方已付货款返还至甲方。</w:t>
      </w:r>
    </w:p>
    <w:p w14:paraId="75018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7.3乙方应保证甲方和使用单位在使用该货物或其任何一部分时免受第三方提出侵犯其专利权、商标权或工业产权的起诉。</w:t>
      </w:r>
    </w:p>
    <w:p w14:paraId="4CEF1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争端的解决</w:t>
      </w:r>
    </w:p>
    <w:p w14:paraId="5AFA9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双方如在履行合同中发生纠纷，首先应友好协商，协商不成，双方均有权向甲方所在地人民法院起诉。</w:t>
      </w:r>
    </w:p>
    <w:p w14:paraId="6849A3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合同生效</w:t>
      </w:r>
    </w:p>
    <w:p w14:paraId="059BF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9.1本合同在甲、乙双方签字盖章生效。</w:t>
      </w:r>
    </w:p>
    <w:p w14:paraId="1FC44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9.2本合同一式</w:t>
      </w:r>
      <w:r>
        <w:rPr>
          <w:rFonts w:hint="eastAsia" w:ascii="宋体" w:hAnsi="宋体" w:eastAsia="宋体" w:cs="宋体"/>
          <w:color w:val="000000"/>
          <w:sz w:val="24"/>
          <w:szCs w:val="24"/>
          <w:u w:val="single"/>
        </w:rPr>
        <w:t>两</w:t>
      </w:r>
      <w:r>
        <w:rPr>
          <w:rFonts w:hint="eastAsia" w:ascii="宋体" w:hAnsi="宋体" w:eastAsia="宋体" w:cs="宋体"/>
          <w:sz w:val="24"/>
          <w:szCs w:val="24"/>
        </w:rPr>
        <w:t>份，以中文为准，签约双方各执一份，具有相同的法律效应、传真件有效。</w:t>
      </w:r>
    </w:p>
    <w:p w14:paraId="766F0EE2">
      <w:pPr>
        <w:spacing w:line="360" w:lineRule="auto"/>
        <w:ind w:firstLine="420"/>
        <w:rPr>
          <w:rFonts w:hint="eastAsia" w:ascii="宋体" w:hAnsi="宋体" w:eastAsia="宋体" w:cs="宋体"/>
          <w:sz w:val="24"/>
          <w:szCs w:val="24"/>
        </w:rPr>
      </w:pPr>
    </w:p>
    <w:p w14:paraId="106749B7">
      <w:pPr>
        <w:spacing w:line="360" w:lineRule="auto"/>
        <w:ind w:firstLine="42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4221B5C9">
      <w:pPr>
        <w:spacing w:line="360" w:lineRule="auto"/>
        <w:ind w:firstLine="420"/>
        <w:rPr>
          <w:rFonts w:hint="eastAsia" w:ascii="宋体" w:hAnsi="宋体" w:eastAsia="宋体" w:cs="DejaVuSans"/>
          <w:kern w:val="0"/>
          <w:sz w:val="24"/>
          <w:szCs w:val="24"/>
        </w:rPr>
      </w:pPr>
    </w:p>
    <w:p w14:paraId="1CA6DB5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3F56271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27AA505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22B8120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96CE03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6841E94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349E154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2087902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09FA487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5627B93E">
      <w:pPr>
        <w:autoSpaceDE w:val="0"/>
        <w:autoSpaceDN w:val="0"/>
        <w:adjustRightInd w:val="0"/>
        <w:spacing w:line="360" w:lineRule="auto"/>
        <w:ind w:firstLine="480" w:firstLineChars="200"/>
        <w:jc w:val="left"/>
        <w:rPr>
          <w:rFonts w:ascii="宋体" w:hAnsi="宋体"/>
        </w:rPr>
      </w:pPr>
      <w:r>
        <w:rPr>
          <w:rFonts w:hint="eastAsia" w:ascii="宋体" w:hAnsi="宋体" w:eastAsia="宋体" w:cs="DejaVuSans"/>
          <w:kern w:val="0"/>
          <w:sz w:val="24"/>
          <w:szCs w:val="24"/>
        </w:rPr>
        <w:t>合同签订日期：</w:t>
      </w:r>
      <w:r>
        <w:rPr>
          <w:rFonts w:hint="eastAsia" w:ascii="宋体" w:hAnsi="宋体"/>
        </w:rPr>
        <w:t xml:space="preserve">           </w:t>
      </w:r>
    </w:p>
    <w:bookmarkEnd w:id="163"/>
    <w:bookmarkEnd w:id="164"/>
    <w:bookmarkEnd w:id="165"/>
    <w:bookmarkEnd w:id="166"/>
    <w:bookmarkEnd w:id="167"/>
    <w:bookmarkEnd w:id="168"/>
    <w:bookmarkEnd w:id="169"/>
    <w:bookmarkEnd w:id="170"/>
    <w:bookmarkEnd w:id="171"/>
    <w:bookmarkEnd w:id="172"/>
    <w:bookmarkEnd w:id="183"/>
    <w:p w14:paraId="6EC41FC1">
      <w:pPr>
        <w:pStyle w:val="40"/>
        <w:spacing w:line="360" w:lineRule="auto"/>
        <w:jc w:val="center"/>
      </w:pPr>
      <w:bookmarkStart w:id="184" w:name="_Toc169861825"/>
      <w:r>
        <w:rPr>
          <w:sz w:val="36"/>
        </w:rPr>
        <w:t>第</w:t>
      </w:r>
      <w:r>
        <w:rPr>
          <w:rFonts w:hint="eastAsia"/>
          <w:sz w:val="36"/>
          <w:lang w:val="en-US" w:eastAsia="zh-CN"/>
        </w:rPr>
        <w:t>五</w:t>
      </w:r>
      <w:r>
        <w:rPr>
          <w:sz w:val="36"/>
        </w:rPr>
        <w:t>部分</w:t>
      </w:r>
      <w:bookmarkEnd w:id="173"/>
      <w:bookmarkEnd w:id="174"/>
      <w:bookmarkEnd w:id="175"/>
      <w:bookmarkEnd w:id="176"/>
      <w:bookmarkEnd w:id="177"/>
      <w:r>
        <w:rPr>
          <w:sz w:val="36"/>
        </w:rPr>
        <w:t xml:space="preserve"> 响应文件格式</w:t>
      </w:r>
      <w:bookmarkEnd w:id="178"/>
      <w:bookmarkEnd w:id="179"/>
      <w:bookmarkEnd w:id="180"/>
      <w:bookmarkEnd w:id="181"/>
      <w:bookmarkEnd w:id="182"/>
      <w:bookmarkEnd w:id="184"/>
    </w:p>
    <w:p w14:paraId="2F477484">
      <w:pPr>
        <w:pStyle w:val="4"/>
        <w:keepNext w:val="0"/>
        <w:keepLines w:val="0"/>
        <w:spacing w:before="0" w:after="0" w:line="360" w:lineRule="auto"/>
        <w:jc w:val="center"/>
        <w:rPr>
          <w:rFonts w:ascii="Times New Roman" w:hAnsi="Times New Roman" w:eastAsia="宋体"/>
          <w:b w:val="0"/>
          <w:sz w:val="24"/>
          <w:szCs w:val="24"/>
        </w:rPr>
      </w:pPr>
      <w:bookmarkStart w:id="185" w:name="_Toc476976200"/>
      <w:bookmarkStart w:id="186" w:name="_Toc169861826"/>
      <w:bookmarkStart w:id="187" w:name="_Toc458262638"/>
      <w:bookmarkStart w:id="188" w:name="_Toc454701405"/>
      <w:bookmarkStart w:id="189" w:name="_Toc486671572"/>
      <w:bookmarkStart w:id="190" w:name="_Toc467236768"/>
      <w:r>
        <w:rPr>
          <w:rFonts w:ascii="Times New Roman" w:hAnsi="Times New Roman" w:eastAsia="宋体"/>
          <w:bCs/>
          <w:sz w:val="24"/>
          <w:szCs w:val="24"/>
        </w:rPr>
        <w:t>一、</w:t>
      </w:r>
      <w:r>
        <w:rPr>
          <w:rFonts w:ascii="Times New Roman" w:hAnsi="Times New Roman" w:eastAsia="宋体"/>
          <w:sz w:val="24"/>
          <w:szCs w:val="24"/>
        </w:rPr>
        <w:t>响应书</w:t>
      </w:r>
      <w:bookmarkEnd w:id="185"/>
      <w:bookmarkEnd w:id="186"/>
      <w:bookmarkEnd w:id="187"/>
      <w:bookmarkEnd w:id="188"/>
      <w:bookmarkEnd w:id="189"/>
      <w:bookmarkEnd w:id="190"/>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开平市中心医院病案密集架采购项目</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4"/>
        <w:keepNext w:val="0"/>
        <w:keepLines w:val="0"/>
        <w:spacing w:before="0" w:after="0" w:line="360" w:lineRule="auto"/>
        <w:jc w:val="center"/>
        <w:rPr>
          <w:rFonts w:ascii="Times New Roman" w:hAnsi="Times New Roman" w:eastAsia="宋体"/>
          <w:bCs/>
          <w:sz w:val="24"/>
          <w:szCs w:val="21"/>
        </w:rPr>
      </w:pPr>
      <w:bookmarkStart w:id="191" w:name="_Toc467236769"/>
      <w:bookmarkStart w:id="192" w:name="_Toc476976201"/>
      <w:bookmarkStart w:id="193" w:name="_Toc486671573"/>
      <w:bookmarkStart w:id="194" w:name="_Toc458262639"/>
      <w:bookmarkStart w:id="195" w:name="_Toc454701406"/>
      <w:r>
        <w:rPr>
          <w:rFonts w:ascii="Times New Roman" w:hAnsi="Times New Roman" w:eastAsia="宋体"/>
          <w:bCs/>
          <w:sz w:val="24"/>
          <w:szCs w:val="21"/>
        </w:rPr>
        <w:br w:type="page"/>
      </w:r>
      <w:bookmarkStart w:id="196" w:name="_Toc169861827"/>
      <w:r>
        <w:rPr>
          <w:rFonts w:ascii="Times New Roman" w:hAnsi="Times New Roman" w:eastAsia="宋体"/>
          <w:bCs/>
          <w:sz w:val="24"/>
          <w:szCs w:val="21"/>
        </w:rPr>
        <w:t>二、报价一览表</w:t>
      </w:r>
      <w:bookmarkEnd w:id="191"/>
      <w:bookmarkEnd w:id="192"/>
      <w:bookmarkEnd w:id="193"/>
      <w:bookmarkEnd w:id="194"/>
      <w:bookmarkEnd w:id="195"/>
      <w:bookmarkEnd w:id="196"/>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82"/>
        <w:gridCol w:w="3405"/>
        <w:gridCol w:w="2366"/>
        <w:gridCol w:w="938"/>
        <w:gridCol w:w="928"/>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2119" w:type="dxa"/>
            <w:gridSpan w:val="2"/>
            <w:vAlign w:val="center"/>
          </w:tcPr>
          <w:p w14:paraId="11038840">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项目名称</w:t>
            </w:r>
          </w:p>
        </w:tc>
        <w:tc>
          <w:tcPr>
            <w:tcW w:w="7637" w:type="dxa"/>
            <w:gridSpan w:val="4"/>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开平市中心医院病案密集架采购项目</w:t>
            </w:r>
            <w:r>
              <w:rPr>
                <w:rFonts w:hint="eastAsia" w:ascii="宋体" w:hAnsi="宋体" w:eastAsia="宋体" w:cs="宋体"/>
                <w:kern w:val="0"/>
                <w:sz w:val="24"/>
                <w:szCs w:val="24"/>
              </w:rPr>
              <w:t xml:space="preserve"> </w:t>
            </w: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38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产品名称</w:t>
            </w:r>
          </w:p>
        </w:tc>
        <w:tc>
          <w:tcPr>
            <w:tcW w:w="3405"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236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938" w:type="dxa"/>
            <w:noWrap w:val="0"/>
            <w:vAlign w:val="center"/>
          </w:tcPr>
          <w:p w14:paraId="3A31B14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939"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2" w:type="dxa"/>
            <w:noWrap w:val="0"/>
            <w:vAlign w:val="center"/>
          </w:tcPr>
          <w:p w14:paraId="226FA77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密集架</w:t>
            </w:r>
          </w:p>
        </w:tc>
        <w:tc>
          <w:tcPr>
            <w:tcW w:w="3405" w:type="dxa"/>
            <w:noWrap w:val="0"/>
            <w:vAlign w:val="center"/>
          </w:tcPr>
          <w:p w14:paraId="2D0611A0">
            <w:pPr>
              <w:spacing w:line="360" w:lineRule="auto"/>
              <w:jc w:val="center"/>
              <w:rPr>
                <w:rFonts w:hint="eastAsia" w:ascii="宋体" w:hAnsi="宋体" w:eastAsia="宋体" w:cs="宋体"/>
                <w:color w:val="000000"/>
                <w:sz w:val="24"/>
                <w:szCs w:val="24"/>
              </w:rPr>
            </w:pPr>
          </w:p>
        </w:tc>
        <w:tc>
          <w:tcPr>
            <w:tcW w:w="2366" w:type="dxa"/>
            <w:noWrap w:val="0"/>
            <w:vAlign w:val="center"/>
          </w:tcPr>
          <w:p w14:paraId="137E50FC">
            <w:pPr>
              <w:spacing w:line="360" w:lineRule="auto"/>
              <w:jc w:val="center"/>
              <w:rPr>
                <w:rFonts w:hint="eastAsia" w:ascii="宋体" w:hAnsi="宋体" w:eastAsia="宋体" w:cs="宋体"/>
                <w:color w:val="000000"/>
                <w:sz w:val="24"/>
                <w:szCs w:val="24"/>
              </w:rPr>
            </w:pPr>
            <w:bookmarkStart w:id="256" w:name="_GoBack"/>
            <w:bookmarkEnd w:id="256"/>
          </w:p>
        </w:tc>
        <w:tc>
          <w:tcPr>
            <w:tcW w:w="938" w:type="dxa"/>
            <w:noWrap w:val="0"/>
            <w:vAlign w:val="center"/>
          </w:tcPr>
          <w:p w14:paraId="6277D62F">
            <w:pPr>
              <w:spacing w:line="360" w:lineRule="auto"/>
              <w:jc w:val="center"/>
              <w:rPr>
                <w:rFonts w:hint="eastAsia" w:ascii="宋体" w:hAnsi="宋体" w:eastAsia="宋体" w:cs="宋体"/>
                <w:color w:val="000000"/>
                <w:sz w:val="24"/>
                <w:szCs w:val="24"/>
              </w:rPr>
            </w:pPr>
          </w:p>
        </w:tc>
        <w:tc>
          <w:tcPr>
            <w:tcW w:w="939"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5345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vMerge w:val="restart"/>
            <w:noWrap w:val="0"/>
            <w:vAlign w:val="center"/>
          </w:tcPr>
          <w:p w14:paraId="165523D7">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总报价</w:t>
            </w:r>
          </w:p>
        </w:tc>
        <w:tc>
          <w:tcPr>
            <w:tcW w:w="3405" w:type="dxa"/>
            <w:noWrap w:val="0"/>
            <w:vAlign w:val="center"/>
          </w:tcPr>
          <w:p w14:paraId="3292ACE9">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4243" w:type="dxa"/>
            <w:gridSpan w:val="4"/>
            <w:noWrap w:val="0"/>
            <w:vAlign w:val="center"/>
          </w:tcPr>
          <w:p w14:paraId="00CDB533">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17A3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vMerge w:val="continue"/>
            <w:noWrap w:val="0"/>
            <w:vAlign w:val="center"/>
          </w:tcPr>
          <w:p w14:paraId="21971AB8">
            <w:pPr>
              <w:spacing w:line="360" w:lineRule="auto"/>
              <w:jc w:val="center"/>
              <w:rPr>
                <w:rFonts w:hint="eastAsia" w:ascii="宋体" w:hAnsi="宋体" w:eastAsia="宋体" w:cs="宋体"/>
                <w:color w:val="000000"/>
                <w:sz w:val="24"/>
                <w:szCs w:val="24"/>
                <w:lang w:val="en-US" w:eastAsia="zh-CN"/>
              </w:rPr>
            </w:pPr>
          </w:p>
        </w:tc>
        <w:tc>
          <w:tcPr>
            <w:tcW w:w="3405" w:type="dxa"/>
            <w:noWrap w:val="0"/>
            <w:vAlign w:val="center"/>
          </w:tcPr>
          <w:p w14:paraId="2CB8AE55">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大写（人民币）</w:t>
            </w:r>
          </w:p>
        </w:tc>
        <w:tc>
          <w:tcPr>
            <w:tcW w:w="4243" w:type="dxa"/>
            <w:gridSpan w:val="4"/>
            <w:noWrap w:val="0"/>
            <w:vAlign w:val="center"/>
          </w:tcPr>
          <w:p w14:paraId="7D29804E">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517D8E49">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648" w:type="dxa"/>
            <w:gridSpan w:val="5"/>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089EA0A4">
            <w:pPr>
              <w:pStyle w:val="2"/>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7648" w:type="dxa"/>
            <w:gridSpan w:val="5"/>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29A108EE">
            <w:pPr>
              <w:pStyle w:val="2"/>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648" w:type="dxa"/>
            <w:gridSpan w:val="5"/>
            <w:noWrap w:val="0"/>
            <w:vAlign w:val="center"/>
          </w:tcPr>
          <w:p w14:paraId="5432476F">
            <w:pPr>
              <w:spacing w:line="360" w:lineRule="auto"/>
              <w:jc w:val="center"/>
              <w:rPr>
                <w:rFonts w:hint="eastAsia" w:ascii="宋体" w:hAnsi="宋体" w:eastAsia="宋体" w:cs="宋体"/>
                <w:color w:val="000000"/>
                <w:sz w:val="24"/>
                <w:szCs w:val="24"/>
              </w:rPr>
            </w:pPr>
          </w:p>
        </w:tc>
      </w:tr>
    </w:tbl>
    <w:p w14:paraId="17822282">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21F8F21D">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eastAsia="宋体"/>
          <w:sz w:val="24"/>
          <w:szCs w:val="21"/>
        </w:rPr>
        <w:t>1</w:t>
      </w:r>
      <w:r>
        <w:rPr>
          <w:rFonts w:hint="eastAsia" w:eastAsia="宋体"/>
          <w:sz w:val="24"/>
          <w:szCs w:val="21"/>
          <w:lang w:val="en-US" w:eastAsia="zh-CN"/>
        </w:rPr>
        <w:t>.</w:t>
      </w:r>
      <w:r>
        <w:rPr>
          <w:rFonts w:hint="eastAsia" w:eastAsia="宋体"/>
          <w:sz w:val="24"/>
          <w:szCs w:val="21"/>
        </w:rPr>
        <w:t>上述总报</w:t>
      </w:r>
      <w:r>
        <w:rPr>
          <w:rFonts w:hint="eastAsia" w:ascii="宋体" w:hAnsi="宋体" w:eastAsia="宋体" w:cs="宋体"/>
          <w:b w:val="0"/>
          <w:bCs w:val="0"/>
          <w:color w:val="auto"/>
          <w:sz w:val="24"/>
          <w:szCs w:val="24"/>
          <w:highlight w:val="none"/>
          <w:u w:val="none"/>
        </w:rPr>
        <w:t>价应为人民币含税全包价，包括所有</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hint="eastAsia" w:eastAsia="宋体"/>
          <w:sz w:val="24"/>
          <w:szCs w:val="21"/>
        </w:rPr>
        <w:t>2</w:t>
      </w:r>
      <w:r>
        <w:rPr>
          <w:rFonts w:hint="eastAsia" w:eastAsia="宋体"/>
          <w:sz w:val="24"/>
          <w:szCs w:val="21"/>
          <w:lang w:eastAsia="zh-CN"/>
        </w:rPr>
        <w:t>.</w:t>
      </w:r>
      <w:r>
        <w:rPr>
          <w:rFonts w:hint="eastAsia" w:eastAsia="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3.</w:t>
      </w:r>
      <w:r>
        <w:rPr>
          <w:rFonts w:eastAsia="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197"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rPr>
          <w:rFonts w:eastAsia="宋体"/>
          <w:b/>
          <w:sz w:val="24"/>
          <w:szCs w:val="21"/>
        </w:rPr>
      </w:pPr>
      <w:r>
        <w:rPr>
          <w:rFonts w:eastAsia="宋体"/>
          <w:b/>
          <w:sz w:val="24"/>
          <w:szCs w:val="21"/>
        </w:rPr>
        <w:br w:type="page"/>
      </w:r>
    </w:p>
    <w:p w14:paraId="158BA272">
      <w:pPr>
        <w:spacing w:line="360" w:lineRule="auto"/>
        <w:rPr>
          <w:rFonts w:ascii="宋体" w:hAnsi="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98"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98"/>
    </w:p>
    <w:p w14:paraId="25A52089">
      <w:pPr>
        <w:spacing w:line="5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开平市中心医院病案密集架采购项目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三、不与其他遴选响应人相互串通响应，排斥其他遴选响应人的公平竞争，损害遴选人或其他遴选响应人的合法利益；</w:t>
      </w:r>
    </w:p>
    <w:p w14:paraId="16C8554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四、不与遴选人串通响应，损害国家利益、社会公共利益或者他人的合法权益；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五、不对遴选人及遴选委员会成员进行任何形式的行贿以牟取成交；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olor w:val="000000" w:themeColor="text1"/>
          <w:sz w:val="24"/>
          <w14:textFill>
            <w14:solidFill>
              <w14:schemeClr w14:val="tx1"/>
            </w14:solidFill>
          </w14:textFill>
        </w:rPr>
      </w:pPr>
    </w:p>
    <w:p w14:paraId="4557F58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A57CC4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197"/>
    <w:p w14:paraId="35338D69">
      <w:pPr>
        <w:rPr>
          <w:rFonts w:ascii="Times New Roman" w:hAnsi="Times New Roman" w:eastAsia="宋体"/>
          <w:bCs/>
          <w:sz w:val="24"/>
          <w:szCs w:val="21"/>
        </w:rPr>
      </w:pPr>
      <w:bookmarkStart w:id="199" w:name="_Toc169861828"/>
      <w:bookmarkStart w:id="200" w:name="_Toc520220206"/>
      <w:bookmarkStart w:id="201" w:name="_Toc480010742"/>
      <w:bookmarkStart w:id="202" w:name="_Toc480020289"/>
      <w:bookmarkStart w:id="203" w:name="_Toc468157569"/>
      <w:bookmarkStart w:id="204" w:name="_Toc468606064"/>
      <w:bookmarkStart w:id="205" w:name="_Toc479991616"/>
      <w:bookmarkStart w:id="206" w:name="_Toc467987856"/>
      <w:bookmarkStart w:id="207" w:name="_Toc480021085"/>
      <w:r>
        <w:rPr>
          <w:rFonts w:ascii="Times New Roman" w:hAnsi="Times New Roman" w:eastAsia="宋体"/>
          <w:bCs/>
          <w:sz w:val="24"/>
          <w:szCs w:val="21"/>
        </w:rPr>
        <w:br w:type="page"/>
      </w:r>
    </w:p>
    <w:p w14:paraId="5DBB839F">
      <w:pPr>
        <w:rPr>
          <w:rFonts w:ascii="Times New Roman" w:hAnsi="Times New Roman" w:eastAsia="宋体"/>
          <w:bCs/>
          <w:sz w:val="24"/>
          <w:szCs w:val="21"/>
        </w:rPr>
      </w:pPr>
    </w:p>
    <w:bookmarkEnd w:id="199"/>
    <w:bookmarkEnd w:id="200"/>
    <w:p w14:paraId="761EE43E">
      <w:pPr>
        <w:pStyle w:val="4"/>
        <w:keepNext w:val="0"/>
        <w:keepLines w:val="0"/>
        <w:spacing w:before="0" w:after="0" w:line="360" w:lineRule="auto"/>
        <w:jc w:val="center"/>
        <w:rPr>
          <w:rFonts w:hint="default" w:ascii="Times New Roman" w:hAnsi="Times New Roman" w:eastAsia="宋体"/>
          <w:sz w:val="24"/>
          <w:szCs w:val="21"/>
          <w:lang w:val="en-US" w:eastAsia="zh-CN"/>
        </w:rPr>
      </w:pPr>
      <w:bookmarkStart w:id="208" w:name="_Toc169861829"/>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201"/>
      <w:bookmarkEnd w:id="202"/>
      <w:bookmarkEnd w:id="203"/>
      <w:bookmarkEnd w:id="204"/>
      <w:bookmarkEnd w:id="205"/>
      <w:bookmarkEnd w:id="206"/>
      <w:bookmarkEnd w:id="207"/>
      <w:bookmarkEnd w:id="208"/>
      <w:bookmarkStart w:id="209" w:name="_Toc480020290"/>
      <w:bookmarkStart w:id="210" w:name="_Toc480010743"/>
      <w:bookmarkStart w:id="211" w:name="_Toc110953865"/>
      <w:bookmarkStart w:id="212" w:name="_Toc467987857"/>
      <w:bookmarkStart w:id="213" w:name="_Toc35233726"/>
      <w:bookmarkStart w:id="214" w:name="_Toc479991617"/>
      <w:bookmarkStart w:id="215" w:name="_Toc480171915"/>
      <w:bookmarkStart w:id="216" w:name="_Toc467236774"/>
      <w:bookmarkStart w:id="217" w:name="_Toc468606065"/>
      <w:bookmarkStart w:id="218" w:name="_Toc458262644"/>
      <w:bookmarkStart w:id="219" w:name="_Toc480021086"/>
      <w:bookmarkStart w:id="220" w:name="_Toc468157570"/>
      <w:bookmarkStart w:id="221" w:name="_Toc454701411"/>
      <w:r>
        <w:rPr>
          <w:rFonts w:hint="eastAsia" w:ascii="Times New Roman" w:hAnsi="Times New Roman" w:eastAsia="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2" w:name="_Toc349642208"/>
      <w:bookmarkStart w:id="223" w:name="_Toc33755469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，我单位同意上述产品参与开平市中心医院</w:t>
      </w:r>
      <w:r>
        <w:rPr>
          <w:rFonts w:hint="eastAsia" w:ascii="宋体" w:hAnsi="宋体" w:eastAsia="宋体" w:cs="宋体"/>
          <w:sz w:val="24"/>
          <w:szCs w:val="24"/>
          <w:lang w:eastAsia="zh-CN"/>
        </w:rPr>
        <w:t>开平市中心医院病案密集架采购项目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如有违反,愿依法承担违约责任。</w:t>
      </w:r>
      <w:bookmarkEnd w:id="222"/>
      <w:bookmarkEnd w:id="223"/>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4" w:name="_Toc337554699"/>
      <w:bookmarkStart w:id="225" w:name="_Toc349642209"/>
      <w:r>
        <w:rPr>
          <w:rFonts w:hint="eastAsia" w:ascii="宋体" w:hAnsi="宋体" w:eastAsia="宋体" w:cs="宋体"/>
          <w:sz w:val="24"/>
          <w:szCs w:val="24"/>
        </w:rPr>
        <w:t>我单位保证出具的产品质量及货源保证书真实,合法,并愿承担一切法律责任。</w:t>
      </w:r>
      <w:bookmarkEnd w:id="224"/>
      <w:bookmarkEnd w:id="225"/>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26" w:name="_Toc337554700"/>
      <w:bookmarkStart w:id="227" w:name="_Toc349642210"/>
      <w:r>
        <w:rPr>
          <w:rFonts w:hint="eastAsia" w:ascii="宋体" w:hAnsi="宋体" w:eastAsia="宋体" w:cs="宋体"/>
          <w:sz w:val="24"/>
          <w:szCs w:val="24"/>
        </w:rPr>
        <w:t>本保证书有效期限为：</w:t>
      </w:r>
      <w:bookmarkEnd w:id="226"/>
      <w:bookmarkEnd w:id="227"/>
      <w:r>
        <w:rPr>
          <w:rFonts w:hint="eastAsia" w:ascii="宋体" w:hAnsi="宋体" w:eastAsia="宋体" w:cs="宋体"/>
          <w:sz w:val="24"/>
          <w:szCs w:val="24"/>
        </w:rPr>
        <w:t>遴选之日起60天的遴选响应有效期内。如果成交，有效期延长至合同终止日止。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571A86C">
      <w:pPr>
        <w:pStyle w:val="4"/>
        <w:keepNext w:val="0"/>
        <w:keepLines w:val="0"/>
        <w:spacing w:before="0" w:after="0" w:line="360" w:lineRule="auto"/>
        <w:jc w:val="center"/>
        <w:rPr>
          <w:rFonts w:eastAsia="宋体"/>
          <w:b w:val="0"/>
          <w:bCs/>
          <w:sz w:val="24"/>
          <w:szCs w:val="21"/>
        </w:rPr>
      </w:pPr>
      <w:r>
        <w:rPr>
          <w:rFonts w:ascii="Times New Roman" w:hAnsi="Times New Roman" w:eastAsia="宋体"/>
          <w:bCs/>
          <w:sz w:val="24"/>
          <w:szCs w:val="21"/>
        </w:rPr>
        <w:br w:type="page"/>
      </w:r>
      <w:bookmarkEnd w:id="209"/>
      <w:bookmarkEnd w:id="210"/>
      <w:bookmarkEnd w:id="211"/>
      <w:bookmarkEnd w:id="212"/>
      <w:bookmarkEnd w:id="213"/>
      <w:bookmarkEnd w:id="214"/>
      <w:bookmarkEnd w:id="215"/>
      <w:bookmarkEnd w:id="216"/>
      <w:bookmarkEnd w:id="217"/>
      <w:bookmarkEnd w:id="218"/>
      <w:bookmarkEnd w:id="219"/>
      <w:bookmarkEnd w:id="220"/>
      <w:bookmarkEnd w:id="221"/>
      <w:bookmarkStart w:id="228" w:name="_Toc169861831"/>
      <w:r>
        <w:rPr>
          <w:rFonts w:hint="eastAsia" w:eastAsia="宋体"/>
          <w:b/>
          <w:bCs w:val="0"/>
          <w:sz w:val="24"/>
          <w:szCs w:val="21"/>
          <w:lang w:val="en-US" w:eastAsia="zh-CN"/>
        </w:rPr>
        <w:t>五</w:t>
      </w:r>
      <w:r>
        <w:rPr>
          <w:rFonts w:hint="eastAsia" w:ascii="Times New Roman" w:hAnsi="Times New Roman" w:eastAsia="宋体"/>
          <w:b/>
          <w:bCs w:val="0"/>
          <w:sz w:val="24"/>
          <w:szCs w:val="21"/>
        </w:rPr>
        <w:t>、</w:t>
      </w:r>
      <w:r>
        <w:rPr>
          <w:rFonts w:hint="eastAsia" w:ascii="Times New Roman" w:hAnsi="Times New Roman" w:eastAsia="宋体"/>
          <w:b/>
          <w:bCs w:val="0"/>
          <w:sz w:val="24"/>
          <w:szCs w:val="21"/>
          <w:lang w:val="en-US" w:eastAsia="zh-CN"/>
        </w:rPr>
        <w:t>近三年来响应产品的销售业绩</w:t>
      </w:r>
      <w:r>
        <w:rPr>
          <w:rFonts w:hint="eastAsia" w:ascii="Times New Roman" w:hAnsi="Times New Roman" w:eastAsia="宋体"/>
          <w:b/>
          <w:bCs w:val="0"/>
          <w:sz w:val="24"/>
          <w:szCs w:val="21"/>
        </w:rPr>
        <w:t>一览表</w:t>
      </w:r>
      <w:bookmarkEnd w:id="228"/>
    </w:p>
    <w:p w14:paraId="75A7C0F4">
      <w:pPr>
        <w:pStyle w:val="23"/>
        <w:spacing w:line="360" w:lineRule="auto"/>
        <w:rPr>
          <w:rFonts w:ascii="Times New Roman" w:hAnsi="Times New Roman"/>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119"/>
        <w:gridCol w:w="2164"/>
        <w:gridCol w:w="2386"/>
      </w:tblGrid>
      <w:tr w14:paraId="6C9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Cs/>
                <w:sz w:val="24"/>
                <w:szCs w:val="24"/>
              </w:rPr>
            </w:pPr>
            <w:r>
              <w:rPr>
                <w:rFonts w:ascii="宋体" w:hAnsi="宋体" w:eastAsia="宋体"/>
                <w:bCs/>
                <w:sz w:val="24"/>
                <w:szCs w:val="24"/>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项目名称</w:t>
            </w:r>
          </w:p>
        </w:tc>
        <w:tc>
          <w:tcPr>
            <w:tcW w:w="2164"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采购单位</w:t>
            </w:r>
          </w:p>
        </w:tc>
        <w:tc>
          <w:tcPr>
            <w:tcW w:w="2386"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Cs/>
                <w:sz w:val="24"/>
                <w:szCs w:val="24"/>
              </w:rPr>
            </w:pPr>
            <w:r>
              <w:rPr>
                <w:rFonts w:hint="eastAsia" w:ascii="宋体" w:hAnsi="宋体" w:eastAsia="宋体"/>
                <w:bCs/>
                <w:sz w:val="24"/>
                <w:szCs w:val="24"/>
              </w:rPr>
              <w:t>合同签订日期</w:t>
            </w:r>
          </w:p>
        </w:tc>
      </w:tr>
      <w:tr w14:paraId="697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spacing w:line="360" w:lineRule="auto"/>
              <w:jc w:val="center"/>
              <w:rPr>
                <w:rFonts w:hAnsi="宋体"/>
                <w:bCs/>
                <w:sz w:val="24"/>
                <w:szCs w:val="24"/>
              </w:rPr>
            </w:pPr>
            <w:r>
              <w:rPr>
                <w:rFonts w:hAnsi="宋体"/>
                <w:bCs/>
                <w:sz w:val="24"/>
                <w:szCs w:val="24"/>
              </w:rPr>
              <w:t>1</w:t>
            </w:r>
          </w:p>
        </w:tc>
        <w:tc>
          <w:tcPr>
            <w:tcW w:w="3119" w:type="dxa"/>
            <w:tcBorders>
              <w:top w:val="single" w:color="auto" w:sz="4" w:space="0"/>
              <w:left w:val="single" w:color="auto" w:sz="4" w:space="0"/>
              <w:bottom w:val="single" w:color="auto" w:sz="4" w:space="0"/>
              <w:right w:val="single" w:color="auto" w:sz="4" w:space="0"/>
            </w:tcBorders>
            <w:vAlign w:val="center"/>
          </w:tcPr>
          <w:p w14:paraId="0B1B46FE">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57CD89EE">
            <w:pPr>
              <w:adjustRightInd w:val="0"/>
              <w:snapToGrid w:val="0"/>
              <w:spacing w:line="360" w:lineRule="auto"/>
              <w:jc w:val="center"/>
              <w:rPr>
                <w:rFonts w:ascii="宋体" w:hAnsi="宋体" w:eastAsia="宋体"/>
                <w:bCs/>
                <w:sz w:val="24"/>
                <w:szCs w:val="24"/>
                <w:u w:val="single"/>
              </w:rPr>
            </w:pPr>
            <w:r>
              <w:rPr>
                <w:rFonts w:hint="eastAsia" w:ascii="宋体" w:hAnsi="宋体" w:eastAsia="宋体"/>
                <w:bCs/>
                <w:sz w:val="24"/>
                <w:szCs w:val="24"/>
                <w:lang w:val="en-US" w:eastAsia="zh-CN"/>
              </w:rPr>
              <w:t>（客户名称）</w:t>
            </w:r>
          </w:p>
        </w:tc>
        <w:tc>
          <w:tcPr>
            <w:tcW w:w="2386" w:type="dxa"/>
            <w:tcBorders>
              <w:top w:val="single" w:color="auto" w:sz="4" w:space="0"/>
              <w:left w:val="single" w:color="auto" w:sz="4" w:space="0"/>
              <w:bottom w:val="single" w:color="auto" w:sz="4" w:space="0"/>
              <w:right w:val="single" w:color="auto" w:sz="4" w:space="0"/>
            </w:tcBorders>
            <w:vAlign w:val="center"/>
          </w:tcPr>
          <w:p w14:paraId="7F2A5D67">
            <w:pPr>
              <w:adjustRightInd w:val="0"/>
              <w:snapToGrid w:val="0"/>
              <w:spacing w:line="360" w:lineRule="auto"/>
              <w:jc w:val="center"/>
              <w:rPr>
                <w:rFonts w:ascii="宋体" w:hAnsi="宋体" w:eastAsia="宋体"/>
                <w:bCs/>
                <w:sz w:val="24"/>
                <w:szCs w:val="24"/>
                <w:u w:val="single"/>
              </w:rPr>
            </w:pPr>
          </w:p>
        </w:tc>
      </w:tr>
      <w:tr w14:paraId="4B9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spacing w:line="360" w:lineRule="auto"/>
              <w:jc w:val="center"/>
              <w:rPr>
                <w:rFonts w:hAnsi="宋体"/>
                <w:bCs/>
                <w:sz w:val="24"/>
                <w:szCs w:val="24"/>
              </w:rPr>
            </w:pPr>
            <w:r>
              <w:rPr>
                <w:rFonts w:hAnsi="宋体"/>
                <w:bCs/>
                <w:sz w:val="24"/>
                <w:szCs w:val="24"/>
              </w:rPr>
              <w:t>2</w:t>
            </w:r>
          </w:p>
        </w:tc>
        <w:tc>
          <w:tcPr>
            <w:tcW w:w="3119" w:type="dxa"/>
            <w:tcBorders>
              <w:top w:val="single" w:color="auto" w:sz="4" w:space="0"/>
              <w:left w:val="single" w:color="auto" w:sz="4" w:space="0"/>
              <w:bottom w:val="single" w:color="auto" w:sz="4" w:space="0"/>
              <w:right w:val="single" w:color="auto" w:sz="4" w:space="0"/>
            </w:tcBorders>
            <w:vAlign w:val="center"/>
          </w:tcPr>
          <w:p w14:paraId="4F162B1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2167F58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167A0545">
            <w:pPr>
              <w:adjustRightInd w:val="0"/>
              <w:snapToGrid w:val="0"/>
              <w:spacing w:line="360" w:lineRule="auto"/>
              <w:jc w:val="center"/>
              <w:rPr>
                <w:rFonts w:ascii="宋体" w:hAnsi="宋体" w:eastAsia="宋体"/>
                <w:bCs/>
                <w:sz w:val="24"/>
                <w:szCs w:val="24"/>
                <w:u w:val="single"/>
              </w:rPr>
            </w:pPr>
          </w:p>
        </w:tc>
      </w:tr>
      <w:tr w14:paraId="3CC2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spacing w:line="360" w:lineRule="auto"/>
              <w:jc w:val="center"/>
              <w:rPr>
                <w:rFonts w:hAnsi="宋体"/>
                <w:bCs/>
                <w:sz w:val="24"/>
                <w:szCs w:val="24"/>
              </w:rPr>
            </w:pPr>
            <w:r>
              <w:rPr>
                <w:rFonts w:hAnsi="宋体"/>
                <w:bCs/>
                <w:sz w:val="24"/>
                <w:szCs w:val="24"/>
              </w:rPr>
              <w:t>3</w:t>
            </w:r>
          </w:p>
        </w:tc>
        <w:tc>
          <w:tcPr>
            <w:tcW w:w="3119" w:type="dxa"/>
            <w:tcBorders>
              <w:top w:val="single" w:color="auto" w:sz="4" w:space="0"/>
              <w:left w:val="single" w:color="auto" w:sz="4" w:space="0"/>
              <w:bottom w:val="single" w:color="auto" w:sz="4" w:space="0"/>
              <w:right w:val="single" w:color="auto" w:sz="4" w:space="0"/>
            </w:tcBorders>
            <w:vAlign w:val="center"/>
          </w:tcPr>
          <w:p w14:paraId="4C4EC633">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21BC09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219F6EC8">
            <w:pPr>
              <w:adjustRightInd w:val="0"/>
              <w:snapToGrid w:val="0"/>
              <w:spacing w:line="360" w:lineRule="auto"/>
              <w:jc w:val="center"/>
              <w:rPr>
                <w:rFonts w:ascii="宋体" w:hAnsi="宋体" w:eastAsia="宋体"/>
                <w:bCs/>
                <w:sz w:val="24"/>
                <w:szCs w:val="24"/>
                <w:u w:val="single"/>
              </w:rPr>
            </w:pPr>
          </w:p>
        </w:tc>
      </w:tr>
      <w:tr w14:paraId="2F4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spacing w:line="360" w:lineRule="auto"/>
              <w:jc w:val="center"/>
              <w:rPr>
                <w:rFonts w:hAnsi="宋体"/>
                <w:bCs/>
                <w:sz w:val="24"/>
                <w:szCs w:val="24"/>
              </w:rPr>
            </w:pPr>
            <w:r>
              <w:rPr>
                <w:rFonts w:hAnsi="宋体"/>
                <w:bCs/>
                <w:sz w:val="24"/>
                <w:szCs w:val="24"/>
              </w:rPr>
              <w:t>4</w:t>
            </w:r>
          </w:p>
        </w:tc>
        <w:tc>
          <w:tcPr>
            <w:tcW w:w="3119" w:type="dxa"/>
            <w:tcBorders>
              <w:top w:val="single" w:color="auto" w:sz="4" w:space="0"/>
              <w:left w:val="single" w:color="auto" w:sz="4" w:space="0"/>
              <w:bottom w:val="single" w:color="auto" w:sz="4" w:space="0"/>
              <w:right w:val="single" w:color="auto" w:sz="4" w:space="0"/>
            </w:tcBorders>
            <w:vAlign w:val="center"/>
          </w:tcPr>
          <w:p w14:paraId="11299015">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1DE6CC6">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F5D94D0">
            <w:pPr>
              <w:adjustRightInd w:val="0"/>
              <w:snapToGrid w:val="0"/>
              <w:spacing w:line="360" w:lineRule="auto"/>
              <w:jc w:val="center"/>
              <w:rPr>
                <w:rFonts w:ascii="宋体" w:hAnsi="宋体" w:eastAsia="宋体"/>
                <w:bCs/>
                <w:sz w:val="24"/>
                <w:szCs w:val="24"/>
                <w:u w:val="single"/>
              </w:rPr>
            </w:pPr>
          </w:p>
        </w:tc>
      </w:tr>
      <w:tr w14:paraId="203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spacing w:line="360" w:lineRule="auto"/>
              <w:jc w:val="center"/>
              <w:rPr>
                <w:rFonts w:hAnsi="宋体"/>
                <w:bCs/>
                <w:sz w:val="24"/>
                <w:szCs w:val="24"/>
              </w:rPr>
            </w:pPr>
            <w:r>
              <w:rPr>
                <w:rFonts w:hAnsi="宋体"/>
                <w:bCs/>
                <w:sz w:val="24"/>
                <w:szCs w:val="24"/>
              </w:rPr>
              <w:t>5</w:t>
            </w:r>
          </w:p>
        </w:tc>
        <w:tc>
          <w:tcPr>
            <w:tcW w:w="3119" w:type="dxa"/>
            <w:tcBorders>
              <w:top w:val="single" w:color="auto" w:sz="4" w:space="0"/>
              <w:left w:val="single" w:color="auto" w:sz="4" w:space="0"/>
              <w:bottom w:val="single" w:color="auto" w:sz="4" w:space="0"/>
              <w:right w:val="single" w:color="auto" w:sz="4" w:space="0"/>
            </w:tcBorders>
            <w:vAlign w:val="center"/>
          </w:tcPr>
          <w:p w14:paraId="1A88B0D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1537875C">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4D268059">
            <w:pPr>
              <w:adjustRightInd w:val="0"/>
              <w:snapToGrid w:val="0"/>
              <w:spacing w:line="360" w:lineRule="auto"/>
              <w:jc w:val="center"/>
              <w:rPr>
                <w:rFonts w:ascii="宋体" w:hAnsi="宋体" w:eastAsia="宋体"/>
                <w:bCs/>
                <w:sz w:val="24"/>
                <w:szCs w:val="24"/>
                <w:u w:val="single"/>
              </w:rPr>
            </w:pPr>
          </w:p>
        </w:tc>
      </w:tr>
      <w:tr w14:paraId="432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spacing w:line="360" w:lineRule="auto"/>
              <w:jc w:val="center"/>
              <w:rPr>
                <w:rFonts w:hAnsi="宋体"/>
                <w:bCs/>
                <w:sz w:val="24"/>
                <w:szCs w:val="24"/>
              </w:rPr>
            </w:pPr>
            <w:r>
              <w:rPr>
                <w:rFonts w:hAnsi="宋体"/>
                <w:bCs/>
                <w:sz w:val="24"/>
                <w:szCs w:val="24"/>
              </w:rPr>
              <w:t>6</w:t>
            </w:r>
          </w:p>
        </w:tc>
        <w:tc>
          <w:tcPr>
            <w:tcW w:w="3119" w:type="dxa"/>
            <w:tcBorders>
              <w:top w:val="single" w:color="auto" w:sz="4" w:space="0"/>
              <w:left w:val="single" w:color="auto" w:sz="4" w:space="0"/>
              <w:bottom w:val="single" w:color="auto" w:sz="4" w:space="0"/>
              <w:right w:val="single" w:color="auto" w:sz="4" w:space="0"/>
            </w:tcBorders>
            <w:vAlign w:val="center"/>
          </w:tcPr>
          <w:p w14:paraId="7B2614CF">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6BFD7B39">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2C903EA">
            <w:pPr>
              <w:adjustRightInd w:val="0"/>
              <w:snapToGrid w:val="0"/>
              <w:spacing w:line="360" w:lineRule="auto"/>
              <w:jc w:val="center"/>
              <w:rPr>
                <w:rFonts w:ascii="宋体" w:hAnsi="宋体" w:eastAsia="宋体"/>
                <w:bCs/>
                <w:sz w:val="24"/>
                <w:szCs w:val="24"/>
                <w:u w:val="single"/>
              </w:rPr>
            </w:pPr>
          </w:p>
        </w:tc>
      </w:tr>
      <w:tr w14:paraId="69CA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spacing w:line="360" w:lineRule="auto"/>
              <w:jc w:val="center"/>
              <w:rPr>
                <w:rFonts w:hAnsi="宋体"/>
                <w:bCs/>
                <w:sz w:val="24"/>
                <w:szCs w:val="24"/>
              </w:rPr>
            </w:pPr>
            <w:r>
              <w:rPr>
                <w:rFonts w:hAnsi="宋体"/>
                <w:bCs/>
                <w:sz w:val="24"/>
                <w:szCs w:val="24"/>
              </w:rPr>
              <w:t>…</w:t>
            </w:r>
          </w:p>
        </w:tc>
        <w:tc>
          <w:tcPr>
            <w:tcW w:w="3119" w:type="dxa"/>
            <w:tcBorders>
              <w:top w:val="single" w:color="auto" w:sz="4" w:space="0"/>
              <w:left w:val="single" w:color="auto" w:sz="4" w:space="0"/>
              <w:bottom w:val="single" w:color="auto" w:sz="4" w:space="0"/>
              <w:right w:val="single" w:color="auto" w:sz="4" w:space="0"/>
            </w:tcBorders>
            <w:vAlign w:val="center"/>
          </w:tcPr>
          <w:p w14:paraId="7019C3E0">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5888610">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7C9AD41B">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w:t>
      </w:r>
      <w:r>
        <w:rPr>
          <w:rFonts w:hint="eastAsia" w:ascii="Times New Roman" w:hAnsi="Times New Roman"/>
          <w:sz w:val="24"/>
          <w:szCs w:val="21"/>
          <w:lang w:val="en-US" w:eastAsia="zh-CN"/>
        </w:rPr>
        <w:t>至少一份原始合同</w:t>
      </w:r>
      <w:r>
        <w:rPr>
          <w:rFonts w:hint="eastAsia" w:ascii="Times New Roman" w:hAnsi="Times New Roman"/>
          <w:sz w:val="24"/>
          <w:szCs w:val="21"/>
        </w:rPr>
        <w:t>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29"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29"/>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4"/>
        <w:snapToGrid w:val="0"/>
        <w:spacing w:before="120" w:beforeLines="50" w:after="120" w:afterLines="50" w:line="360" w:lineRule="auto"/>
        <w:jc w:val="center"/>
        <w:rPr>
          <w:rFonts w:ascii="Times New Roman" w:hAnsi="Times New Roman" w:eastAsia="宋体"/>
          <w:bCs/>
          <w:sz w:val="24"/>
          <w:szCs w:val="21"/>
        </w:rPr>
      </w:pPr>
      <w:bookmarkStart w:id="230"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30"/>
    </w:p>
    <w:p w14:paraId="60A54CF7">
      <w:pPr>
        <w:pStyle w:val="5"/>
      </w:pPr>
    </w:p>
    <w:p w14:paraId="07D342C4">
      <w:pPr>
        <w:pStyle w:val="5"/>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lang w:val="en-US" w:eastAsia="zh-CN"/>
        </w:rPr>
        <w:t>供应商</w:t>
      </w:r>
      <w:r>
        <w:rPr>
          <w:rFonts w:hint="eastAsia" w:eastAsia="宋体"/>
          <w:sz w:val="24"/>
          <w:szCs w:val="21"/>
        </w:rPr>
        <w:t>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w:t>
      </w:r>
      <w:r>
        <w:rPr>
          <w:rFonts w:hint="eastAsia" w:eastAsia="宋体"/>
          <w:sz w:val="24"/>
          <w:szCs w:val="21"/>
          <w:lang w:val="en-US" w:eastAsia="zh-CN"/>
        </w:rPr>
        <w:t xml:space="preserve"> </w:t>
      </w:r>
      <w:r>
        <w:rPr>
          <w:rFonts w:hint="eastAsia" w:eastAsia="宋体"/>
          <w:sz w:val="24"/>
          <w:szCs w:val="21"/>
        </w:rPr>
        <w:t xml:space="preserve">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4"/>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31" w:name="_Toc50737329"/>
      <w:bookmarkStart w:id="232" w:name="_Toc416770259"/>
      <w:bookmarkStart w:id="233" w:name="_Toc52165081"/>
      <w:bookmarkStart w:id="234" w:name="_Toc410738980"/>
      <w:bookmarkStart w:id="235" w:name="_Toc50737297"/>
      <w:bookmarkStart w:id="236" w:name="_Toc169861833"/>
      <w:bookmarkStart w:id="237" w:name="_Toc416771369"/>
      <w:bookmarkStart w:id="238" w:name="_Toc50736477"/>
      <w:bookmarkStart w:id="239" w:name="_Toc410736181"/>
      <w:bookmarkStart w:id="240" w:name="_Toc275865607"/>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31"/>
      <w:bookmarkEnd w:id="232"/>
      <w:bookmarkEnd w:id="233"/>
      <w:bookmarkEnd w:id="234"/>
      <w:bookmarkEnd w:id="235"/>
      <w:bookmarkEnd w:id="236"/>
      <w:bookmarkEnd w:id="237"/>
      <w:bookmarkEnd w:id="238"/>
      <w:bookmarkEnd w:id="239"/>
      <w:bookmarkEnd w:id="240"/>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开平市中心医院病案密集架采购项目</w:t>
      </w:r>
      <w:r>
        <w:rPr>
          <w:rFonts w:hint="eastAsia" w:ascii="宋体" w:hAnsi="Courier New" w:eastAsia="宋体"/>
          <w:sz w:val="24"/>
          <w:szCs w:val="24"/>
          <w:u w:val="single"/>
        </w:rPr>
        <w:t xml:space="preserve"> </w:t>
      </w:r>
      <w:r>
        <w:rPr>
          <w:rFonts w:hint="eastAsia" w:ascii="宋体" w:hAnsi="Courier New" w:eastAsia="宋体"/>
          <w:sz w:val="24"/>
          <w:szCs w:val="24"/>
        </w:rPr>
        <w:t>项目的</w:t>
      </w:r>
      <w:r>
        <w:rPr>
          <w:rFonts w:hint="eastAsia" w:ascii="宋体" w:hAnsi="Courier New" w:eastAsia="宋体"/>
          <w:sz w:val="24"/>
          <w:szCs w:val="24"/>
          <w:lang w:val="en-US" w:eastAsia="zh-CN"/>
        </w:rPr>
        <w:t>遴选</w:t>
      </w:r>
      <w:r>
        <w:rPr>
          <w:rFonts w:hint="eastAsia" w:ascii="宋体" w:hAnsi="Courier New" w:eastAsia="宋体"/>
          <w:sz w:val="24"/>
          <w:szCs w:val="24"/>
        </w:rPr>
        <w:t>，以本公司名义处理一切与之有关的事务。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41" w:name="_Toc467236781"/>
      <w:bookmarkStart w:id="242" w:name="_Toc464021124"/>
      <w:bookmarkStart w:id="243" w:name="_Toc479991624"/>
      <w:bookmarkStart w:id="244" w:name="_Toc480021092"/>
      <w:bookmarkStart w:id="245" w:name="_Toc35233731"/>
      <w:bookmarkStart w:id="246" w:name="_Toc480020296"/>
      <w:bookmarkStart w:id="247" w:name="_Toc468157577"/>
      <w:bookmarkStart w:id="248" w:name="_Toc480171921"/>
      <w:bookmarkStart w:id="249" w:name="_Toc467035692"/>
      <w:bookmarkStart w:id="250" w:name="_Toc480010749"/>
      <w:bookmarkStart w:id="251" w:name="_Toc467987864"/>
      <w:bookmarkStart w:id="252" w:name="_Toc468606072"/>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4"/>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4"/>
        <w:snapToGrid w:val="0"/>
        <w:spacing w:before="120" w:beforeLines="50" w:after="120" w:afterLines="50" w:line="360" w:lineRule="auto"/>
        <w:jc w:val="center"/>
        <w:rPr>
          <w:rFonts w:ascii="Times New Roman" w:hAnsi="Times New Roman" w:eastAsia="宋体"/>
          <w:bCs/>
          <w:sz w:val="24"/>
          <w:szCs w:val="21"/>
        </w:rPr>
      </w:pPr>
      <w:bookmarkStart w:id="253"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53"/>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开平市中心医院病案密集架采购项目</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4"/>
        <w:snapToGrid w:val="0"/>
        <w:spacing w:before="120" w:beforeLines="50" w:after="120" w:afterLines="50" w:line="360" w:lineRule="auto"/>
        <w:jc w:val="center"/>
        <w:rPr>
          <w:rFonts w:ascii="Times New Roman" w:hAnsi="Times New Roman" w:eastAsia="宋体"/>
          <w:bCs/>
          <w:sz w:val="24"/>
          <w:szCs w:val="21"/>
        </w:rPr>
      </w:pPr>
      <w:bookmarkStart w:id="254"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41"/>
      <w:bookmarkEnd w:id="242"/>
      <w:bookmarkEnd w:id="243"/>
      <w:bookmarkEnd w:id="244"/>
      <w:bookmarkEnd w:id="245"/>
      <w:bookmarkEnd w:id="246"/>
      <w:bookmarkEnd w:id="247"/>
      <w:bookmarkEnd w:id="248"/>
      <w:bookmarkEnd w:id="249"/>
      <w:bookmarkEnd w:id="250"/>
      <w:bookmarkEnd w:id="251"/>
      <w:bookmarkEnd w:id="252"/>
      <w:r>
        <w:rPr>
          <w:rFonts w:ascii="Times New Roman" w:hAnsi="Times New Roman" w:eastAsia="宋体"/>
          <w:bCs/>
          <w:sz w:val="24"/>
          <w:szCs w:val="21"/>
        </w:rPr>
        <w:t>响应资格证明书</w:t>
      </w:r>
      <w:bookmarkEnd w:id="254"/>
    </w:p>
    <w:p w14:paraId="32FAE947">
      <w:pPr>
        <w:pStyle w:val="5"/>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74577AF3">
      <w:pPr>
        <w:spacing w:line="360" w:lineRule="auto"/>
        <w:rPr>
          <w:rFonts w:hint="eastAsia" w:eastAsia="宋体"/>
          <w:sz w:val="24"/>
          <w:szCs w:val="21"/>
          <w:lang w:eastAsia="zh-CN"/>
        </w:rPr>
      </w:pPr>
      <w:r>
        <w:rPr>
          <w:rFonts w:hint="eastAsia" w:eastAsia="宋体"/>
          <w:sz w:val="24"/>
          <w:szCs w:val="21"/>
          <w:lang w:val="en-US" w:eastAsia="zh-CN"/>
        </w:rPr>
        <w:t>2.</w:t>
      </w:r>
      <w:r>
        <w:rPr>
          <w:rFonts w:hint="eastAsia" w:eastAsia="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eastAsia="宋体"/>
          <w:sz w:val="24"/>
          <w:szCs w:val="21"/>
          <w:lang w:eastAsia="zh-CN"/>
        </w:rPr>
        <w:t>。</w:t>
      </w:r>
    </w:p>
    <w:p w14:paraId="11F4A9C2">
      <w:pPr>
        <w:spacing w:line="360" w:lineRule="auto"/>
        <w:rPr>
          <w:rFonts w:hint="eastAsia" w:eastAsia="宋体"/>
          <w:sz w:val="24"/>
          <w:szCs w:val="21"/>
        </w:rPr>
      </w:pPr>
      <w:r>
        <w:rPr>
          <w:rFonts w:hint="eastAsia" w:eastAsia="宋体"/>
          <w:sz w:val="24"/>
          <w:szCs w:val="21"/>
        </w:rPr>
        <w:t>（查询结果需显示查询时间，查询后右击鼠标选择“打印”）</w:t>
      </w:r>
    </w:p>
    <w:p w14:paraId="2B0A4ABE">
      <w:pPr>
        <w:spacing w:line="360" w:lineRule="auto"/>
        <w:rPr>
          <w:rFonts w:hint="default" w:eastAsia="宋体"/>
          <w:sz w:val="24"/>
          <w:szCs w:val="21"/>
          <w:lang w:val="en-US" w:eastAsia="zh-CN"/>
        </w:rPr>
      </w:pPr>
      <w:r>
        <w:rPr>
          <w:rFonts w:hint="eastAsia" w:eastAsia="宋体"/>
          <w:sz w:val="24"/>
          <w:szCs w:val="21"/>
          <w:lang w:val="en-US" w:eastAsia="zh-CN"/>
        </w:rPr>
        <w:t>3.企业近半年任意三个月缴纳税收证明和企业近半年任意三个月社会保障资金证明。</w:t>
      </w:r>
    </w:p>
    <w:p w14:paraId="41B99C7E">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4"/>
        <w:snapToGrid w:val="0"/>
        <w:spacing w:before="120" w:beforeLines="50" w:after="120" w:afterLines="50" w:line="360" w:lineRule="auto"/>
        <w:jc w:val="center"/>
        <w:rPr>
          <w:rFonts w:ascii="Times New Roman" w:hAnsi="Times New Roman" w:eastAsia="宋体"/>
          <w:bCs/>
          <w:sz w:val="24"/>
          <w:szCs w:val="21"/>
        </w:rPr>
      </w:pPr>
      <w:bookmarkStart w:id="255"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55"/>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w:t>
      </w:r>
      <w:r>
        <w:rPr>
          <w:rFonts w:hint="eastAsia" w:ascii="宋体" w:hAnsi="宋体" w:eastAsia="宋体"/>
          <w:sz w:val="24"/>
          <w:szCs w:val="24"/>
          <w:lang w:val="en-US" w:eastAsia="zh-CN"/>
        </w:rPr>
        <w:t>公司</w:t>
      </w:r>
      <w:r>
        <w:rPr>
          <w:rFonts w:hint="eastAsia" w:ascii="宋体" w:hAnsi="宋体" w:eastAsia="宋体"/>
          <w:sz w:val="24"/>
          <w:szCs w:val="24"/>
        </w:rPr>
        <w:t>已详细阅读了</w:t>
      </w:r>
      <w:r>
        <w:rPr>
          <w:rFonts w:hint="eastAsia" w:ascii="宋体" w:hAnsi="宋体" w:eastAsia="宋体"/>
          <w:sz w:val="24"/>
          <w:szCs w:val="24"/>
          <w:u w:val="single"/>
          <w:lang w:eastAsia="zh-CN"/>
        </w:rPr>
        <w:t>开平市中心医院病案密集架采购项目</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文件规定的时限内按照文件要求完成</w:t>
      </w:r>
      <w:r>
        <w:rPr>
          <w:rFonts w:hint="eastAsia" w:ascii="宋体" w:hAnsi="宋体" w:eastAsia="宋体"/>
          <w:sz w:val="24"/>
          <w:szCs w:val="24"/>
          <w:lang w:val="en-US" w:eastAsia="zh-CN"/>
        </w:rPr>
        <w:t>采购项目</w:t>
      </w:r>
      <w:r>
        <w:rPr>
          <w:rFonts w:hint="eastAsia" w:ascii="宋体" w:hAnsi="宋体" w:eastAsia="宋体"/>
          <w:sz w:val="24"/>
          <w:szCs w:val="24"/>
        </w:rPr>
        <w:t>，按时向采购人</w:t>
      </w:r>
      <w:r>
        <w:rPr>
          <w:rFonts w:hint="eastAsia" w:ascii="宋体" w:hAnsi="宋体" w:eastAsia="宋体"/>
          <w:sz w:val="24"/>
          <w:szCs w:val="24"/>
          <w:lang w:val="en-US" w:eastAsia="zh-CN"/>
        </w:rPr>
        <w:t>完成交货及安装</w:t>
      </w:r>
      <w:r>
        <w:rPr>
          <w:rFonts w:hint="eastAsia" w:ascii="宋体" w:hAnsi="宋体" w:eastAsia="宋体"/>
          <w:sz w:val="24"/>
          <w:szCs w:val="24"/>
        </w:rPr>
        <w:t>。质量按照</w:t>
      </w:r>
      <w:r>
        <w:rPr>
          <w:rFonts w:hint="eastAsia" w:ascii="宋体" w:hAnsi="宋体" w:eastAsia="宋体"/>
          <w:sz w:val="24"/>
          <w:szCs w:val="24"/>
          <w:lang w:val="en-US" w:eastAsia="zh-CN"/>
        </w:rPr>
        <w:t>遴选</w:t>
      </w:r>
      <w:r>
        <w:rPr>
          <w:rFonts w:hint="eastAsia" w:ascii="宋体" w:hAnsi="宋体" w:eastAsia="宋体"/>
          <w:sz w:val="24"/>
          <w:szCs w:val="24"/>
        </w:rPr>
        <w:t>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w:t>
      </w:r>
      <w:r>
        <w:rPr>
          <w:rFonts w:hint="eastAsia" w:ascii="宋体" w:hAnsi="宋体" w:eastAsia="宋体"/>
          <w:sz w:val="24"/>
          <w:szCs w:val="24"/>
          <w:lang w:val="en-US" w:eastAsia="zh-CN"/>
        </w:rPr>
        <w:t>采购</w:t>
      </w:r>
      <w:r>
        <w:rPr>
          <w:rFonts w:hint="eastAsia" w:ascii="宋体" w:hAnsi="宋体" w:eastAsia="宋体"/>
          <w:sz w:val="24"/>
          <w:szCs w:val="24"/>
        </w:rPr>
        <w:t>市场秩序。否则，同意被废除</w:t>
      </w:r>
      <w:r>
        <w:rPr>
          <w:rFonts w:hint="eastAsia" w:ascii="宋体" w:hAnsi="宋体" w:eastAsia="宋体"/>
          <w:sz w:val="24"/>
          <w:szCs w:val="24"/>
          <w:lang w:val="en-US" w:eastAsia="zh-CN"/>
        </w:rPr>
        <w:t>遴选</w:t>
      </w:r>
      <w:r>
        <w:rPr>
          <w:rFonts w:hint="eastAsia" w:ascii="宋体" w:hAnsi="宋体" w:eastAsia="宋体"/>
          <w:sz w:val="24"/>
          <w:szCs w:val="24"/>
        </w:rPr>
        <w:t>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w:t>
      </w:r>
      <w:r>
        <w:rPr>
          <w:rFonts w:hint="eastAsia" w:ascii="宋体" w:hAnsi="宋体" w:eastAsia="宋体"/>
          <w:sz w:val="24"/>
          <w:szCs w:val="24"/>
          <w:lang w:val="en-US" w:eastAsia="zh-CN"/>
        </w:rPr>
        <w:t>遴选</w:t>
      </w:r>
      <w:r>
        <w:rPr>
          <w:rFonts w:hint="eastAsia" w:ascii="宋体" w:hAnsi="宋体" w:eastAsia="宋体"/>
          <w:sz w:val="24"/>
          <w:szCs w:val="24"/>
        </w:rPr>
        <w:t>文件内容无任何虚假。若评标过程中查出有虚假，同意作无效</w:t>
      </w:r>
      <w:r>
        <w:rPr>
          <w:rFonts w:hint="eastAsia" w:ascii="宋体" w:hAnsi="宋体" w:eastAsia="宋体"/>
          <w:sz w:val="24"/>
          <w:szCs w:val="24"/>
          <w:lang w:val="en-US" w:eastAsia="zh-CN"/>
        </w:rPr>
        <w:t>遴选</w:t>
      </w:r>
      <w:r>
        <w:rPr>
          <w:rFonts w:hint="eastAsia" w:ascii="宋体" w:hAnsi="宋体" w:eastAsia="宋体"/>
          <w:sz w:val="24"/>
          <w:szCs w:val="24"/>
        </w:rPr>
        <w:t>文件处理并被没收</w:t>
      </w:r>
      <w:r>
        <w:rPr>
          <w:rFonts w:hint="eastAsia" w:ascii="宋体" w:hAnsi="宋体" w:eastAsia="宋体"/>
          <w:sz w:val="24"/>
          <w:szCs w:val="24"/>
          <w:lang w:val="en-US" w:eastAsia="zh-CN"/>
        </w:rPr>
        <w:t>遴选</w:t>
      </w:r>
      <w:r>
        <w:rPr>
          <w:rFonts w:hint="eastAsia" w:ascii="宋体" w:hAnsi="宋体" w:eastAsia="宋体"/>
          <w:sz w:val="24"/>
          <w:szCs w:val="24"/>
        </w:rPr>
        <w:t>担保，若中标之后查出有虚假，同意废除中标资格并被没收</w:t>
      </w:r>
      <w:r>
        <w:rPr>
          <w:rFonts w:hint="eastAsia" w:ascii="宋体" w:hAnsi="宋体" w:eastAsia="宋体"/>
          <w:sz w:val="24"/>
          <w:szCs w:val="24"/>
          <w:lang w:val="en-US" w:eastAsia="zh-CN"/>
        </w:rPr>
        <w:t>遴选</w:t>
      </w:r>
      <w:r>
        <w:rPr>
          <w:rFonts w:hint="eastAsia" w:ascii="宋体" w:hAnsi="宋体" w:eastAsia="宋体"/>
          <w:sz w:val="24"/>
          <w:szCs w:val="24"/>
        </w:rPr>
        <w:t>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w:t>
      </w:r>
      <w:r>
        <w:rPr>
          <w:rFonts w:hint="eastAsia" w:ascii="宋体" w:hAnsi="宋体" w:eastAsia="宋体"/>
          <w:sz w:val="24"/>
          <w:szCs w:val="24"/>
          <w:lang w:val="en-US" w:eastAsia="zh-CN"/>
        </w:rPr>
        <w:t>遴选</w:t>
      </w:r>
      <w:r>
        <w:rPr>
          <w:rFonts w:hint="eastAsia" w:ascii="宋体" w:hAnsi="宋体" w:eastAsia="宋体"/>
          <w:sz w:val="24"/>
          <w:szCs w:val="24"/>
        </w:rPr>
        <w:t>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文件及中标通知书规定签定合同。否则，同意接受采购人违约处罚并被没收</w:t>
      </w:r>
      <w:r>
        <w:rPr>
          <w:rFonts w:hint="eastAsia" w:ascii="宋体" w:hAnsi="宋体" w:eastAsia="宋体"/>
          <w:sz w:val="24"/>
          <w:szCs w:val="24"/>
          <w:lang w:val="en-US" w:eastAsia="zh-CN"/>
        </w:rPr>
        <w:t>遴选</w:t>
      </w:r>
      <w:r>
        <w:rPr>
          <w:rFonts w:hint="eastAsia" w:ascii="宋体" w:hAnsi="宋体" w:eastAsia="宋体"/>
          <w:sz w:val="24"/>
          <w:szCs w:val="24"/>
        </w:rPr>
        <w:t>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6.保证按照合同约定完成合同范围内的全部内容。否则，同意接受采购人对供应商违约处理。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7.保证中标之后不转包、不挂靠，若分包将征得采购人同意并遵守相关法律法规。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w:t>
      </w:r>
      <w:r>
        <w:rPr>
          <w:rFonts w:hint="eastAsia" w:ascii="宋体" w:hAnsi="宋体" w:eastAsia="宋体"/>
          <w:sz w:val="24"/>
          <w:szCs w:val="24"/>
          <w:lang w:val="en-US" w:eastAsia="zh-CN"/>
        </w:rPr>
        <w:t>采购人</w:t>
      </w:r>
      <w:r>
        <w:rPr>
          <w:rFonts w:hint="eastAsia" w:ascii="宋体" w:hAnsi="宋体" w:eastAsia="宋体"/>
          <w:sz w:val="24"/>
          <w:szCs w:val="24"/>
        </w:rPr>
        <w:t>开展工作。</w:t>
      </w:r>
    </w:p>
    <w:p w14:paraId="10C2CAEF">
      <w:pPr>
        <w:spacing w:line="360" w:lineRule="auto"/>
        <w:ind w:firstLine="480" w:firstLineChars="200"/>
        <w:rPr>
          <w:rFonts w:ascii="宋体" w:hAnsi="宋体" w:eastAsia="宋体"/>
          <w:sz w:val="24"/>
        </w:rPr>
      </w:pPr>
    </w:p>
    <w:p w14:paraId="038BDF8A">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Inter">
    <w:panose1 w:val="020B0502030000000004"/>
    <w:charset w:val="00"/>
    <w:family w:val="auto"/>
    <w:pitch w:val="default"/>
    <w:sig w:usb0="E00002FF" w:usb1="1200A1FF" w:usb2="00000001" w:usb3="00000000" w:csb0="0000019F" w:csb1="0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开平市中心医院病案密集架采购项目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开平市中心医院病案密集架采购项目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开平市中心医院病案密集架采购项目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9C407F"/>
    <w:rsid w:val="04F031FB"/>
    <w:rsid w:val="051A0DC4"/>
    <w:rsid w:val="05C4310B"/>
    <w:rsid w:val="05D4309B"/>
    <w:rsid w:val="07456CFC"/>
    <w:rsid w:val="074C3ACA"/>
    <w:rsid w:val="0750067A"/>
    <w:rsid w:val="07685361"/>
    <w:rsid w:val="08181F45"/>
    <w:rsid w:val="083A3F7E"/>
    <w:rsid w:val="092170D3"/>
    <w:rsid w:val="09354491"/>
    <w:rsid w:val="096B4234"/>
    <w:rsid w:val="0A2F5574"/>
    <w:rsid w:val="0A582468"/>
    <w:rsid w:val="0B2E5519"/>
    <w:rsid w:val="0B697506"/>
    <w:rsid w:val="0BBE7E63"/>
    <w:rsid w:val="0C1D705A"/>
    <w:rsid w:val="0C651FA7"/>
    <w:rsid w:val="0F720C87"/>
    <w:rsid w:val="0F7D59F6"/>
    <w:rsid w:val="10B10FD7"/>
    <w:rsid w:val="11113EA3"/>
    <w:rsid w:val="124F42B9"/>
    <w:rsid w:val="125F0C79"/>
    <w:rsid w:val="13252204"/>
    <w:rsid w:val="13B95037"/>
    <w:rsid w:val="13F41DDD"/>
    <w:rsid w:val="1417662E"/>
    <w:rsid w:val="14932956"/>
    <w:rsid w:val="15266E4E"/>
    <w:rsid w:val="154811A8"/>
    <w:rsid w:val="15AC4E1C"/>
    <w:rsid w:val="15FB1C74"/>
    <w:rsid w:val="16B65F5A"/>
    <w:rsid w:val="171D4DF7"/>
    <w:rsid w:val="18031236"/>
    <w:rsid w:val="18540B58"/>
    <w:rsid w:val="19120228"/>
    <w:rsid w:val="191D51C7"/>
    <w:rsid w:val="192727C6"/>
    <w:rsid w:val="194D51B6"/>
    <w:rsid w:val="1A1A7F48"/>
    <w:rsid w:val="1B3C1DD8"/>
    <w:rsid w:val="1C22302A"/>
    <w:rsid w:val="1CA668CE"/>
    <w:rsid w:val="1D8614B0"/>
    <w:rsid w:val="1D996CC8"/>
    <w:rsid w:val="1E177425"/>
    <w:rsid w:val="1EA26D96"/>
    <w:rsid w:val="204563CC"/>
    <w:rsid w:val="21B90060"/>
    <w:rsid w:val="22AE379E"/>
    <w:rsid w:val="239E1A70"/>
    <w:rsid w:val="23FB7914"/>
    <w:rsid w:val="2459377B"/>
    <w:rsid w:val="24AD2BCD"/>
    <w:rsid w:val="24CA0A5A"/>
    <w:rsid w:val="264C077C"/>
    <w:rsid w:val="268D51D4"/>
    <w:rsid w:val="26A72A02"/>
    <w:rsid w:val="274821AC"/>
    <w:rsid w:val="28760EC1"/>
    <w:rsid w:val="289363DE"/>
    <w:rsid w:val="28B409B4"/>
    <w:rsid w:val="28EA443D"/>
    <w:rsid w:val="29042D2C"/>
    <w:rsid w:val="292C2C40"/>
    <w:rsid w:val="2AE46658"/>
    <w:rsid w:val="2B671526"/>
    <w:rsid w:val="2BCF782F"/>
    <w:rsid w:val="2BE97B66"/>
    <w:rsid w:val="2C3529C8"/>
    <w:rsid w:val="2CC74842"/>
    <w:rsid w:val="2E5A3C96"/>
    <w:rsid w:val="2EF312C6"/>
    <w:rsid w:val="2F511A30"/>
    <w:rsid w:val="2F8C7F5C"/>
    <w:rsid w:val="2FB2501E"/>
    <w:rsid w:val="308952B0"/>
    <w:rsid w:val="30DC34B8"/>
    <w:rsid w:val="30EE4C54"/>
    <w:rsid w:val="32147DC4"/>
    <w:rsid w:val="33627CF8"/>
    <w:rsid w:val="33CD3272"/>
    <w:rsid w:val="33E645DC"/>
    <w:rsid w:val="346F60D7"/>
    <w:rsid w:val="34C374AD"/>
    <w:rsid w:val="352B259E"/>
    <w:rsid w:val="353C45ED"/>
    <w:rsid w:val="35616529"/>
    <w:rsid w:val="357905BC"/>
    <w:rsid w:val="35FD12B2"/>
    <w:rsid w:val="362F47C8"/>
    <w:rsid w:val="36870A2A"/>
    <w:rsid w:val="370C56F3"/>
    <w:rsid w:val="37230078"/>
    <w:rsid w:val="373874DE"/>
    <w:rsid w:val="37904D56"/>
    <w:rsid w:val="379C734C"/>
    <w:rsid w:val="37F124D5"/>
    <w:rsid w:val="39176F90"/>
    <w:rsid w:val="39677CC5"/>
    <w:rsid w:val="399D3B0C"/>
    <w:rsid w:val="39F723CF"/>
    <w:rsid w:val="39FC7338"/>
    <w:rsid w:val="3B0864E3"/>
    <w:rsid w:val="3C21710D"/>
    <w:rsid w:val="3CEA39E9"/>
    <w:rsid w:val="3D37175C"/>
    <w:rsid w:val="3D400BA9"/>
    <w:rsid w:val="3DF95A66"/>
    <w:rsid w:val="3E4B6A9B"/>
    <w:rsid w:val="3E8A0FA4"/>
    <w:rsid w:val="3EB428B0"/>
    <w:rsid w:val="3EB6253E"/>
    <w:rsid w:val="3FAA5D1E"/>
    <w:rsid w:val="40546F2B"/>
    <w:rsid w:val="40A85AB9"/>
    <w:rsid w:val="41582E49"/>
    <w:rsid w:val="418D7D70"/>
    <w:rsid w:val="42EA0B36"/>
    <w:rsid w:val="433F5D44"/>
    <w:rsid w:val="43E550B8"/>
    <w:rsid w:val="44B553BD"/>
    <w:rsid w:val="457B3CD9"/>
    <w:rsid w:val="45BF09A2"/>
    <w:rsid w:val="45D81D34"/>
    <w:rsid w:val="45EB1BE1"/>
    <w:rsid w:val="45F41271"/>
    <w:rsid w:val="467A7452"/>
    <w:rsid w:val="4716133E"/>
    <w:rsid w:val="484315B6"/>
    <w:rsid w:val="484F0B92"/>
    <w:rsid w:val="48741AB6"/>
    <w:rsid w:val="48C8585F"/>
    <w:rsid w:val="49940732"/>
    <w:rsid w:val="4A646777"/>
    <w:rsid w:val="4A880DD3"/>
    <w:rsid w:val="4E055E8C"/>
    <w:rsid w:val="4F3F76F2"/>
    <w:rsid w:val="4FAD07BD"/>
    <w:rsid w:val="4FDE15F3"/>
    <w:rsid w:val="506F630E"/>
    <w:rsid w:val="510B13F4"/>
    <w:rsid w:val="52310E93"/>
    <w:rsid w:val="527C2613"/>
    <w:rsid w:val="53397A0C"/>
    <w:rsid w:val="539A2E87"/>
    <w:rsid w:val="53E92AEF"/>
    <w:rsid w:val="54BB1E1B"/>
    <w:rsid w:val="553100D6"/>
    <w:rsid w:val="553E7B18"/>
    <w:rsid w:val="56AE0C92"/>
    <w:rsid w:val="56C41E5B"/>
    <w:rsid w:val="57B32A9F"/>
    <w:rsid w:val="58925DB9"/>
    <w:rsid w:val="58D73C1D"/>
    <w:rsid w:val="5A982114"/>
    <w:rsid w:val="5AB9121B"/>
    <w:rsid w:val="5AEB2255"/>
    <w:rsid w:val="5AF00933"/>
    <w:rsid w:val="5B525C87"/>
    <w:rsid w:val="5B5317F3"/>
    <w:rsid w:val="5C2F1E8F"/>
    <w:rsid w:val="5D494803"/>
    <w:rsid w:val="5D8733B4"/>
    <w:rsid w:val="5DDC7599"/>
    <w:rsid w:val="5F00399C"/>
    <w:rsid w:val="5F1832FB"/>
    <w:rsid w:val="5F28567D"/>
    <w:rsid w:val="5F3B67FC"/>
    <w:rsid w:val="5FF97134"/>
    <w:rsid w:val="5FFF5ED8"/>
    <w:rsid w:val="600A312C"/>
    <w:rsid w:val="604F3196"/>
    <w:rsid w:val="60F25F36"/>
    <w:rsid w:val="624D58C1"/>
    <w:rsid w:val="64A55D99"/>
    <w:rsid w:val="64FA1908"/>
    <w:rsid w:val="65374138"/>
    <w:rsid w:val="65945F13"/>
    <w:rsid w:val="66C828BC"/>
    <w:rsid w:val="67026F67"/>
    <w:rsid w:val="673F3203"/>
    <w:rsid w:val="682C661B"/>
    <w:rsid w:val="69724A89"/>
    <w:rsid w:val="69B30239"/>
    <w:rsid w:val="69F06C95"/>
    <w:rsid w:val="6AF975B9"/>
    <w:rsid w:val="6B4D2434"/>
    <w:rsid w:val="6C080198"/>
    <w:rsid w:val="6C1F6348"/>
    <w:rsid w:val="6C2E088C"/>
    <w:rsid w:val="6D0B1506"/>
    <w:rsid w:val="6DAA37B5"/>
    <w:rsid w:val="6FA84C02"/>
    <w:rsid w:val="70C2647F"/>
    <w:rsid w:val="70CD7F27"/>
    <w:rsid w:val="71385799"/>
    <w:rsid w:val="741713C4"/>
    <w:rsid w:val="74546174"/>
    <w:rsid w:val="74EE5E20"/>
    <w:rsid w:val="751A4987"/>
    <w:rsid w:val="76483B47"/>
    <w:rsid w:val="76C66107"/>
    <w:rsid w:val="78847233"/>
    <w:rsid w:val="79444163"/>
    <w:rsid w:val="7A470084"/>
    <w:rsid w:val="7A5433BE"/>
    <w:rsid w:val="7A763316"/>
    <w:rsid w:val="7A78685F"/>
    <w:rsid w:val="7A9E639B"/>
    <w:rsid w:val="7ADA7350"/>
    <w:rsid w:val="7B0B75EA"/>
    <w:rsid w:val="7B83361B"/>
    <w:rsid w:val="7BD61B65"/>
    <w:rsid w:val="7C974B11"/>
    <w:rsid w:val="7DAF403F"/>
    <w:rsid w:val="7DDF6930"/>
    <w:rsid w:val="7E0C25A3"/>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5"/>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6">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7">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10">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1">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2">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line="360" w:lineRule="auto"/>
    </w:pPr>
    <w:rPr>
      <w:rFonts w:ascii="仿宋_GB2312"/>
      <w:sz w:val="28"/>
    </w:r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3">
    <w:name w:val="toc 7"/>
    <w:basedOn w:val="1"/>
    <w:next w:val="1"/>
    <w:qFormat/>
    <w:uiPriority w:val="0"/>
    <w:pPr>
      <w:ind w:left="2520" w:leftChars="1200"/>
    </w:pPr>
    <w:rPr>
      <w:rFonts w:ascii="Calibri" w:hAnsi="Calibri" w:eastAsia="宋体"/>
      <w:sz w:val="21"/>
      <w:szCs w:val="22"/>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74"/>
    <w:qFormat/>
    <w:uiPriority w:val="0"/>
    <w:pPr>
      <w:shd w:val="clear" w:color="auto" w:fill="000080"/>
    </w:pPr>
    <w:rPr>
      <w:kern w:val="0"/>
      <w:shd w:val="clear" w:color="auto" w:fill="000080"/>
    </w:rPr>
  </w:style>
  <w:style w:type="paragraph" w:styleId="16">
    <w:name w:val="annotation text"/>
    <w:basedOn w:val="1"/>
    <w:link w:val="81"/>
    <w:qFormat/>
    <w:uiPriority w:val="0"/>
    <w:pPr>
      <w:jc w:val="left"/>
    </w:pPr>
    <w:rPr>
      <w:rFonts w:eastAsia="宋体"/>
      <w:sz w:val="21"/>
      <w:szCs w:val="24"/>
    </w:rPr>
  </w:style>
  <w:style w:type="paragraph" w:styleId="17">
    <w:name w:val="Body Text 3"/>
    <w:basedOn w:val="1"/>
    <w:link w:val="86"/>
    <w:qFormat/>
    <w:uiPriority w:val="0"/>
    <w:pPr>
      <w:spacing w:after="120"/>
    </w:pPr>
    <w:rPr>
      <w:rFonts w:eastAsia="宋体"/>
      <w:sz w:val="16"/>
      <w:szCs w:val="16"/>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6"/>
    <w:next w:val="16"/>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3"/>
    <w:qFormat/>
    <w:uiPriority w:val="0"/>
    <w:rPr>
      <w:rFonts w:ascii="宋体" w:eastAsia="宋体"/>
      <w:b/>
      <w:kern w:val="44"/>
      <w:sz w:val="44"/>
      <w:lang w:val="en-US" w:eastAsia="zh-CN" w:bidi="ar-SA"/>
    </w:rPr>
  </w:style>
  <w:style w:type="character" w:customStyle="1" w:styleId="52">
    <w:name w:val="正文缩进 字符"/>
    <w:link w:val="5"/>
    <w:qFormat/>
    <w:uiPriority w:val="0"/>
    <w:rPr>
      <w:rFonts w:ascii="宋体" w:eastAsia="宋体"/>
      <w:sz w:val="34"/>
      <w:lang w:val="en-US" w:eastAsia="zh-CN" w:bidi="ar-SA"/>
    </w:rPr>
  </w:style>
  <w:style w:type="character" w:customStyle="1" w:styleId="53">
    <w:name w:val="标题 2 字符"/>
    <w:link w:val="4"/>
    <w:qFormat/>
    <w:uiPriority w:val="0"/>
    <w:rPr>
      <w:rFonts w:ascii="Arial" w:hAnsi="Arial" w:eastAsia="黑体"/>
      <w:b/>
      <w:sz w:val="32"/>
      <w:lang w:val="en-US" w:eastAsia="zh-CN" w:bidi="ar-SA"/>
    </w:rPr>
  </w:style>
  <w:style w:type="character" w:customStyle="1" w:styleId="54">
    <w:name w:val="标题 3 字符"/>
    <w:link w:val="6"/>
    <w:qFormat/>
    <w:uiPriority w:val="0"/>
    <w:rPr>
      <w:rFonts w:ascii="宋体" w:eastAsia="宋体"/>
      <w:b/>
      <w:sz w:val="32"/>
      <w:lang w:val="en-US" w:eastAsia="zh-CN" w:bidi="ar-SA"/>
    </w:rPr>
  </w:style>
  <w:style w:type="character" w:customStyle="1" w:styleId="55">
    <w:name w:val="标题 4 字符"/>
    <w:link w:val="7"/>
    <w:qFormat/>
    <w:uiPriority w:val="0"/>
    <w:rPr>
      <w:rFonts w:ascii="等线 Light" w:hAnsi="等线 Light" w:eastAsia="等线 Light" w:cs="Times New Roman"/>
      <w:b/>
      <w:bCs/>
      <w:kern w:val="2"/>
      <w:sz w:val="28"/>
      <w:szCs w:val="28"/>
    </w:rPr>
  </w:style>
  <w:style w:type="character" w:customStyle="1" w:styleId="56">
    <w:name w:val="标题 5 字符"/>
    <w:basedOn w:val="44"/>
    <w:link w:val="8"/>
    <w:qFormat/>
    <w:uiPriority w:val="0"/>
    <w:rPr>
      <w:rFonts w:eastAsia="仿宋_GB2312"/>
      <w:b/>
      <w:bCs/>
      <w:kern w:val="2"/>
      <w:sz w:val="28"/>
      <w:szCs w:val="28"/>
    </w:rPr>
  </w:style>
  <w:style w:type="character" w:customStyle="1" w:styleId="57">
    <w:name w:val="标题 6 字符"/>
    <w:link w:val="9"/>
    <w:qFormat/>
    <w:uiPriority w:val="0"/>
    <w:rPr>
      <w:rFonts w:ascii="Calibri Light" w:hAnsi="Calibri Light" w:eastAsia="宋体" w:cs="Times New Roman"/>
      <w:b/>
      <w:bCs/>
      <w:kern w:val="2"/>
      <w:sz w:val="24"/>
      <w:szCs w:val="24"/>
    </w:rPr>
  </w:style>
  <w:style w:type="character" w:customStyle="1" w:styleId="58">
    <w:name w:val="标题 7 字符"/>
    <w:link w:val="10"/>
    <w:qFormat/>
    <w:uiPriority w:val="0"/>
    <w:rPr>
      <w:rFonts w:ascii="宋体"/>
      <w:b/>
      <w:color w:val="000000"/>
      <w:kern w:val="2"/>
      <w:sz w:val="24"/>
      <w:szCs w:val="24"/>
    </w:rPr>
  </w:style>
  <w:style w:type="character" w:customStyle="1" w:styleId="59">
    <w:name w:val="标题 8 字符"/>
    <w:link w:val="11"/>
    <w:qFormat/>
    <w:uiPriority w:val="0"/>
    <w:rPr>
      <w:rFonts w:ascii="Arial" w:hAnsi="Arial" w:eastAsia="黑体"/>
      <w:color w:val="000000"/>
      <w:kern w:val="2"/>
      <w:sz w:val="24"/>
      <w:szCs w:val="24"/>
    </w:rPr>
  </w:style>
  <w:style w:type="character" w:customStyle="1" w:styleId="60">
    <w:name w:val="标题 9 字符"/>
    <w:link w:val="12"/>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2"/>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5"/>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6"/>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7"/>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4"/>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6"/>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6"/>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3"/>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 w:type="paragraph" w:customStyle="1" w:styleId="23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41</Pages>
  <Words>13756</Words>
  <Characters>14551</Characters>
  <Lines>55</Lines>
  <Paragraphs>64</Paragraphs>
  <TotalTime>1</TotalTime>
  <ScaleCrop>false</ScaleCrop>
  <LinksUpToDate>false</LinksUpToDate>
  <CharactersWithSpaces>14849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2025-09-29T02:09:29Z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0107FD289C134CF08D53C759068E2AFD_13</vt:lpwstr>
  </property>
  <property fmtid="{D5CDD505-2E9C-101B-9397-08002B2CF9AE}" pid="4" name="KSOTemplateDocerSaveRecord">
    <vt:lpwstr>eyJoZGlkIjoiZDUxNWNjMTVhZmQ1NDYzNDYyZmQxZDczNGYxNmJkYmQiLCJ1c2VySWQiOiIyODQ4OTIwNjYifQ==</vt:lpwstr>
  </property>
</Properties>
</file>